
<file path=[Content_Types].xml><?xml version="1.0" encoding="utf-8"?>
<Types xmlns="http://schemas.openxmlformats.org/package/2006/content-types">
  <Default Extension="xlsx" ContentType="application/vnd.openxmlformats-officedocument.spreadsheetml.sheet"/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charts/style3.xml" ContentType="application/vnd.ms-office.chartstyle+xml"/>
  <Override PartName="/word/charts/style2.xml" ContentType="application/vnd.ms-office.chartstyle+xml"/>
  <Override PartName="/word/charts/colors3.xml" ContentType="application/vnd.ms-office.chartcolorstyle+xml"/>
  <Override PartName="/word/charts/chart2.xml" ContentType="application/vnd.openxmlformats-officedocument.drawingml.chart+xml"/>
  <Override PartName="/word/charts/colors2.xml" ContentType="application/vnd.ms-office.chartcolorstyle+xml"/>
  <Override PartName="/word/charts/style1.xml" ContentType="application/vnd.ms-office.chartstyle+xml"/>
  <Override PartName="/word/charts/colors1.xml" ContentType="application/vnd.ms-office.chartcolorsty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harts/chart3.xml" ContentType="application/vnd.openxmlformats-officedocument.drawingml.chart+xml"/>
  <Override PartName="/word/charts/chart1.xml" ContentType="application/vnd.openxmlformats-officedocument.drawingml.chart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Анализ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обращений граж</w:t>
      </w:r>
      <w:r>
        <w:rPr>
          <w:rFonts w:ascii="Times New Roman" w:hAnsi="Times New Roman" w:cs="Times New Roman"/>
          <w:b/>
          <w:sz w:val="28"/>
          <w:szCs w:val="28"/>
        </w:rPr>
        <w:t xml:space="preserve">дан, 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поступивших</w:t>
      </w:r>
      <w:r>
        <w:rPr>
          <w:rFonts w:ascii="Times New Roman" w:hAnsi="Times New Roman" w:cs="Times New Roman"/>
          <w:b/>
          <w:sz w:val="28"/>
          <w:szCs w:val="28"/>
        </w:rPr>
        <w:t xml:space="preserve"> в МЗ ПК за </w:t>
      </w:r>
      <w:r>
        <w:rPr>
          <w:rFonts w:ascii="Times New Roman" w:hAnsi="Times New Roman" w:cs="Times New Roman"/>
          <w:b/>
          <w:sz w:val="28"/>
          <w:szCs w:val="28"/>
        </w:rPr>
        <w:t xml:space="preserve">3</w:t>
      </w:r>
      <w:r>
        <w:rPr>
          <w:rFonts w:ascii="Times New Roman" w:hAnsi="Times New Roman" w:cs="Times New Roman"/>
          <w:b/>
          <w:sz w:val="28"/>
          <w:szCs w:val="28"/>
        </w:rPr>
        <w:t xml:space="preserve"> квартал 2026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 xml:space="preserve">а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 квартал 2026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поступило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15 924</w:t>
      </w:r>
      <w:r>
        <w:rPr>
          <w:rFonts w:ascii="Times New Roman" w:hAnsi="Times New Roman" w:cs="Times New Roman"/>
          <w:sz w:val="28"/>
          <w:szCs w:val="28"/>
        </w:rPr>
        <w:t xml:space="preserve"> обращения, ч</w:t>
      </w:r>
      <w:r>
        <w:rPr>
          <w:rFonts w:ascii="Times New Roman" w:hAnsi="Times New Roman" w:cs="Times New Roman"/>
          <w:sz w:val="28"/>
          <w:szCs w:val="28"/>
        </w:rPr>
        <w:t xml:space="preserve">то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2 %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меньше </w:t>
      </w:r>
      <w:r>
        <w:rPr>
          <w:rFonts w:ascii="Times New Roman" w:hAnsi="Times New Roman" w:cs="Times New Roman"/>
          <w:sz w:val="28"/>
          <w:szCs w:val="28"/>
        </w:rPr>
        <w:t xml:space="preserve">количеств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поступивших обра</w:t>
      </w:r>
      <w:r>
        <w:rPr>
          <w:rFonts w:ascii="Times New Roman" w:hAnsi="Times New Roman" w:cs="Times New Roman"/>
          <w:sz w:val="28"/>
          <w:szCs w:val="28"/>
        </w:rPr>
        <w:t xml:space="preserve">щений за 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 квартал 2026 года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drawing>
          <wp:inline distT="0" distB="0" distL="0" distR="0">
            <wp:extent cx="4552949" cy="2724149"/>
            <wp:effectExtent l="4762" t="4762" r="4762" b="4762"/>
            <wp:docPr id="1" name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tbl>
      <w:tblPr>
        <w:tblStyle w:val="728"/>
        <w:tblW w:w="1048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828"/>
        <w:gridCol w:w="2409"/>
        <w:gridCol w:w="2409"/>
        <w:gridCol w:w="1841"/>
      </w:tblGrid>
      <w:tr>
        <w:tblPrEx/>
        <w:trPr>
          <w:cantSplit/>
          <w:trHeight w:val="493"/>
        </w:trPr>
        <w:tc>
          <w:tcPr>
            <w:tcW w:w="382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Обращения граждан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 квартал 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 квартал 2026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r>
          </w:p>
        </w:tc>
        <w:tc>
          <w:tcPr>
            <w:tcW w:w="184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 квартал 2026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</w:tr>
      <w:tr>
        <w:tblPrEx/>
        <w:trPr/>
        <w:tc>
          <w:tcPr>
            <w:tcW w:w="382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Всего обращений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17 835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highlight w:val="none"/>
              </w:rPr>
              <w:t xml:space="preserve">16 271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r>
          </w:p>
        </w:tc>
        <w:tc>
          <w:tcPr>
            <w:tcW w:w="184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15 924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</w:tr>
      <w:tr>
        <w:tblPrEx/>
        <w:trPr>
          <w:trHeight w:val="559"/>
        </w:trPr>
        <w:tc>
          <w:tcPr>
            <w:tcW w:w="382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Устных обращений на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телефон горячей линии МЗ ПК 122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448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4 332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r>
          </w:p>
        </w:tc>
        <w:tc>
          <w:tcPr>
            <w:tcW w:w="184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4 161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</w:p>
        </w:tc>
      </w:tr>
      <w:tr>
        <w:tblPrEx/>
        <w:trPr/>
        <w:tc>
          <w:tcPr>
            <w:tcW w:w="382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Письменных обращений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2 889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2 977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r>
          </w:p>
        </w:tc>
        <w:tc>
          <w:tcPr>
            <w:tcW w:w="184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2 481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</w:p>
        </w:tc>
      </w:tr>
      <w:tr>
        <w:tblPrEx/>
        <w:trPr/>
        <w:tc>
          <w:tcPr>
            <w:tcW w:w="382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ЕПГУ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ПОС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10 498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8 962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r>
          </w:p>
        </w:tc>
        <w:tc>
          <w:tcPr>
            <w:tcW w:w="184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9 282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</w:p>
        </w:tc>
      </w:tr>
    </w:tbl>
    <w:p>
      <w:pPr>
        <w:ind w:firstLine="709"/>
        <w:jc w:val="both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вопросам здравоохранения жители региона используют следующие каналы/источники поступления обращений: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межведомственная система электронного документооборота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 федеральный портал «Единый портал государственных </w:t>
      </w:r>
      <w:r>
        <w:rPr>
          <w:rFonts w:ascii="Times New Roman" w:hAnsi="Times New Roman" w:cs="Times New Roman"/>
          <w:sz w:val="28"/>
          <w:szCs w:val="28"/>
        </w:rPr>
        <w:br/>
        <w:t xml:space="preserve">и муниципальных услуг»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региональный портал «Управляем вместе»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система обратной связи в социальных сетях сегмента Пермского края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единая региональная информационно-справочная служба Пермского края по номеру телефона 122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35"/>
        </w:numPr>
        <w:ind w:left="0" w:firstLine="709"/>
        <w:jc w:val="both"/>
        <w:spacing w:line="240" w:lineRule="exact"/>
        <w:tabs>
          <w:tab w:val="left" w:pos="709" w:leader="none"/>
          <w:tab w:val="left" w:pos="993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</w:t>
      </w:r>
      <w:r>
        <w:rPr>
          <w:rFonts w:ascii="Times New Roman" w:hAnsi="Times New Roman" w:cs="Times New Roman"/>
          <w:sz w:val="28"/>
          <w:szCs w:val="28"/>
        </w:rPr>
        <w:t xml:space="preserve">ародный контроль, комфортная медицина (совместный проект с ОНФ).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709"/>
        <w:jc w:val="both"/>
        <w:spacing w:line="240" w:lineRule="exact"/>
        <w:tabs>
          <w:tab w:val="left" w:pos="709" w:leader="none"/>
          <w:tab w:val="left" w:pos="993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отрабатываются сообщения с официальных страниц (</w:t>
      </w:r>
      <w:r>
        <w:rPr>
          <w:rFonts w:ascii="Times New Roman" w:hAnsi="Times New Roman" w:cs="Times New Roman"/>
          <w:sz w:val="28"/>
          <w:szCs w:val="28"/>
        </w:rPr>
        <w:t xml:space="preserve">госпабликов</w:t>
      </w:r>
      <w:r>
        <w:rPr>
          <w:rFonts w:ascii="Times New Roman" w:hAnsi="Times New Roman" w:cs="Times New Roman"/>
          <w:sz w:val="28"/>
          <w:szCs w:val="28"/>
        </w:rPr>
        <w:t xml:space="preserve">) медучреждений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line="240" w:lineRule="auto"/>
        <w:rPr>
          <w:rFonts w:ascii="Times New Roman" w:hAnsi="Times New Roman" w:cs="Times New Roman"/>
          <w:b/>
          <w:sz w:val="28"/>
          <w:szCs w:val="28"/>
          <w:highlight w:val="yellow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yellow"/>
          <w:lang w:eastAsia="ru-RU"/>
        </w:rPr>
      </w:r>
      <w:r>
        <w:drawing>
          <wp:inline distT="0" distB="0" distL="0" distR="0">
            <wp:extent cx="4552949" cy="2724149"/>
            <wp:effectExtent l="4762" t="4762" r="4762" b="4762"/>
            <wp:docPr id="2" name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z w:val="28"/>
          <w:szCs w:val="28"/>
          <w:highlight w:val="yellow"/>
          <w:lang w:eastAsia="ru-RU"/>
        </w:rPr>
      </w:r>
      <w:r>
        <w:rPr>
          <w:rFonts w:ascii="Times New Roman" w:hAnsi="Times New Roman" w:cs="Times New Roman"/>
          <w:b/>
          <w:sz w:val="28"/>
          <w:szCs w:val="28"/>
          <w:highlight w:val="yellow"/>
        </w:rPr>
      </w:r>
    </w:p>
    <w:p>
      <w:pPr>
        <w:ind w:firstLine="0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center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Динамика поступления сообщений по месяцам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ПОС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ЕПГУ: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9"/>
        <w:jc w:val="center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04800" cy="304800"/>
                <wp:effectExtent l="0" t="0" r="0" b="0"/>
                <wp:docPr id="3" name="AutoShape 3" descr="C:\Users\bvalekseeva\Desktop\%D0%BE%D1%82%D1%87%D0%B5%D1%82%D1%8B\%D0%B7%D0%B0%D0%B3%D1%80%D1%83%D0%B6%D0%B5%D0%BD%D0%BD%D0%BE%D0%B5 (1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0" o:spid="_x0000_s0" o:spt="1" type="#_x0000_t1" style="width:24.00pt;height:24.00pt;mso-wrap-distance-left:0.00pt;mso-wrap-distance-top:0.00pt;mso-wrap-distance-right:0.00pt;mso-wrap-distance-bottom:0.00pt;visibility:visible;" filled="f" stroked="f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drawing>
          <wp:inline distT="0" distB="0" distL="0" distR="0">
            <wp:extent cx="5403872" cy="3520026"/>
            <wp:effectExtent l="4762" t="4762" r="4762" b="4762"/>
            <wp:docPr id="4" name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темы, которые заявители затрагивают в своих сообщениях, направленных в ЕПГУ: получение электронных медицинских документов -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36,8 %</w:t>
      </w:r>
      <w:r>
        <w:rPr>
          <w:rFonts w:ascii="Times New Roman" w:hAnsi="Times New Roman" w:cs="Times New Roman"/>
          <w:sz w:val="28"/>
          <w:szCs w:val="28"/>
        </w:rPr>
        <w:t xml:space="preserve">, проблемы с выбором временного слота для записи -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19,9 %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проблемы с в</w:t>
      </w:r>
      <w:r>
        <w:rPr>
          <w:rFonts w:ascii="Times New Roman" w:hAnsi="Times New Roman" w:cs="Times New Roman"/>
          <w:sz w:val="28"/>
          <w:szCs w:val="28"/>
        </w:rPr>
        <w:t xml:space="preserve">ыбором медицинского специалиста -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18,1 %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проблемы с больничным листом -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5,7 %</w:t>
      </w:r>
      <w:r>
        <w:rPr>
          <w:rFonts w:ascii="Times New Roman" w:hAnsi="Times New Roman" w:cs="Times New Roman"/>
          <w:sz w:val="28"/>
          <w:szCs w:val="28"/>
        </w:rPr>
        <w:t xml:space="preserve">, проблемы справочных служб -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3,4 %</w:t>
      </w:r>
      <w:r>
        <w:rPr>
          <w:rFonts w:ascii="Times New Roman" w:hAnsi="Times New Roman" w:cs="Times New Roman"/>
          <w:sz w:val="28"/>
          <w:szCs w:val="28"/>
        </w:rPr>
        <w:t xml:space="preserve">, иные проблемы -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2,6 %</w:t>
      </w:r>
      <w:r>
        <w:rPr>
          <w:rFonts w:ascii="Times New Roman" w:hAnsi="Times New Roman" w:cs="Times New Roman"/>
          <w:sz w:val="28"/>
          <w:szCs w:val="28"/>
        </w:rPr>
        <w:t xml:space="preserve">, проблемы </w:t>
        <w:br/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с посещением врача по записи на </w:t>
      </w:r>
      <w:r>
        <w:rPr>
          <w:rFonts w:ascii="Times New Roman" w:hAnsi="Times New Roman" w:cs="Times New Roman"/>
          <w:sz w:val="28"/>
          <w:szCs w:val="28"/>
        </w:rPr>
        <w:t xml:space="preserve">прием к врачу -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2,5 %</w:t>
      </w:r>
      <w:r>
        <w:rPr>
          <w:rFonts w:ascii="Times New Roman" w:hAnsi="Times New Roman" w:cs="Times New Roman"/>
          <w:sz w:val="28"/>
          <w:szCs w:val="28"/>
        </w:rPr>
        <w:t xml:space="preserve">, проблемы с выбором региона при записи -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1,7 %</w:t>
      </w:r>
      <w:r>
        <w:rPr>
          <w:rFonts w:ascii="Times New Roman" w:hAnsi="Times New Roman" w:cs="Times New Roman"/>
          <w:sz w:val="28"/>
          <w:szCs w:val="28"/>
        </w:rPr>
        <w:t xml:space="preserve">, проблемы с прикреплением к медицинской организации -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1,7 %</w:t>
      </w:r>
      <w:r>
        <w:rPr>
          <w:rFonts w:ascii="Times New Roman" w:hAnsi="Times New Roman" w:cs="Times New Roman"/>
          <w:sz w:val="28"/>
          <w:szCs w:val="28"/>
        </w:rPr>
        <w:t xml:space="preserve">, проблемы с записью на приём к врачу -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1,3 %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/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обращения граждан отрабатываются сотрудниками министерства, контролируется удовлетворенность заявителей качеств</w:t>
      </w:r>
      <w:r>
        <w:rPr>
          <w:rFonts w:ascii="Times New Roman" w:hAnsi="Times New Roman" w:cs="Times New Roman"/>
          <w:sz w:val="28"/>
          <w:szCs w:val="28"/>
        </w:rPr>
        <w:t xml:space="preserve">ом рассмотренных сообщений. За 3</w:t>
      </w:r>
      <w:r>
        <w:rPr>
          <w:rFonts w:ascii="Times New Roman" w:hAnsi="Times New Roman" w:cs="Times New Roman"/>
          <w:sz w:val="28"/>
          <w:szCs w:val="28"/>
        </w:rPr>
        <w:t xml:space="preserve"> квартал 2026 года</w:t>
      </w:r>
      <w:r>
        <w:rPr>
          <w:rFonts w:ascii="Times New Roman" w:hAnsi="Times New Roman" w:cs="Times New Roman"/>
          <w:sz w:val="28"/>
          <w:szCs w:val="28"/>
        </w:rPr>
        <w:t xml:space="preserve"> осуществлено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1 718</w:t>
      </w:r>
      <w:r>
        <w:rPr>
          <w:rFonts w:ascii="Times New Roman" w:hAnsi="Times New Roman" w:cs="Times New Roman"/>
          <w:sz w:val="28"/>
          <w:szCs w:val="28"/>
        </w:rPr>
        <w:t xml:space="preserve"> звонков обратной связи.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систематизации письменных обращений по уровням направления показал, что </w:t>
      </w:r>
      <w:r>
        <w:rPr>
          <w:rFonts w:ascii="Times New Roman" w:hAnsi="Times New Roman" w:cs="Times New Roman"/>
          <w:sz w:val="28"/>
          <w:szCs w:val="28"/>
        </w:rPr>
        <w:t xml:space="preserve">наибольшее количество обращений поступило: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адрес министерства здравоохранения Пермского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57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%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адрес Президента РФ –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4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%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МЗ РФ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21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%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адрес ФОМС и СМО –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2 %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адрес РПН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1%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адрес РЗН –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4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%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Прокуратуру Пермского края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9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%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к Уполномоченному по правам человека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%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Согласно анализу поступивших обращений в системе электронного документооборота, 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ематика обращений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за 3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квартал 2026 года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следующим образом: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28"/>
        <w:tblW w:w="0" w:type="auto"/>
        <w:tblLayout w:type="fixed"/>
        <w:tblLook w:val="04A0" w:firstRow="1" w:lastRow="0" w:firstColumn="1" w:lastColumn="0" w:noHBand="0" w:noVBand="1"/>
      </w:tblPr>
      <w:tblGrid>
        <w:gridCol w:w="9215"/>
        <w:gridCol w:w="1134"/>
      </w:tblGrid>
      <w:tr>
        <w:tblPrEx/>
        <w:trPr>
          <w:trHeight w:val="300"/>
        </w:trPr>
        <w:tc>
          <w:tcPr>
            <w:shd w:val="clear" w:color="daeef3" w:fill="daeef3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215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Тематики</w:t>
            </w:r>
            <w:r/>
            <w:r/>
          </w:p>
        </w:tc>
        <w:tc>
          <w:tcPr>
            <w:shd w:val="clear" w:color="daeef3" w:fill="daeef3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Всего</w:t>
            </w:r>
            <w:r/>
            <w:r/>
          </w:p>
        </w:tc>
      </w:tr>
      <w:tr>
        <w:tblPrEx/>
        <w:trPr>
          <w:trHeight w:val="339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215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Лечение и оказание медицинской помощи 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2525</w:t>
            </w:r>
            <w:r/>
            <w:r/>
          </w:p>
        </w:tc>
      </w:tr>
      <w:tr>
        <w:tblPrEx/>
        <w:trPr>
          <w:trHeight w:val="418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215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Работа медицинских учреждений и их сотрудников 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58</w:t>
            </w:r>
            <w:r/>
            <w:r/>
          </w:p>
        </w:tc>
      </w:tr>
      <w:tr>
        <w:tblPrEx/>
        <w:trPr>
          <w:trHeight w:val="46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215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Врачебно-консультационная комиссия. О медицинском обслуживании, диагностике 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13</w:t>
            </w:r>
            <w:r/>
            <w:r/>
          </w:p>
        </w:tc>
      </w:tr>
      <w:tr>
        <w:tblPrEx/>
        <w:trPr>
          <w:trHeight w:val="517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215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Организация оказания медицинской помощи взрослым в амбулаторно-поликлинических условиях 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12</w:t>
            </w:r>
            <w:r/>
            <w:r/>
          </w:p>
        </w:tc>
      </w:tr>
      <w:tr>
        <w:tblPrEx/>
        <w:trPr>
          <w:trHeight w:val="378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215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Лекарственное обеспечение 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10</w:t>
            </w:r>
            <w:r/>
            <w:r/>
          </w:p>
        </w:tc>
      </w:tr>
      <w:tr>
        <w:tblPrEx/>
        <w:trPr>
          <w:trHeight w:val="37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215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Обеспечение потребности в медицинской помощи и объемов ее получения 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8</w:t>
            </w:r>
            <w:r/>
            <w:r/>
          </w:p>
        </w:tc>
      </w:tr>
      <w:tr>
        <w:tblPrEx/>
        <w:trPr>
          <w:trHeight w:val="607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215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Качество оказания медицинской помощи взрослым в амбулаторно-поликлинических условиях 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6</w:t>
            </w:r>
            <w:r/>
            <w:r/>
          </w:p>
        </w:tc>
      </w:tr>
      <w:tr>
        <w:tblPrEx/>
        <w:trPr>
          <w:trHeight w:val="362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215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Меры социальной поддержки медицинских работников 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4</w:t>
            </w:r>
            <w:r/>
            <w:r/>
          </w:p>
        </w:tc>
      </w:tr>
      <w:tr>
        <w:tblPrEx/>
        <w:trPr>
          <w:trHeight w:val="418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215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Внедрение и использование современных медицинских технологий, в том числе инновационных 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3</w:t>
            </w:r>
            <w:r/>
            <w:r/>
          </w:p>
        </w:tc>
      </w:tr>
      <w:tr>
        <w:tblPrEx/>
        <w:trPr>
          <w:trHeight w:val="362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215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Качество оказания медицинской помощи взрослым в стационарных условиях 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</w:t>
            </w:r>
            <w:r/>
            <w:r/>
          </w:p>
        </w:tc>
      </w:tr>
      <w:tr>
        <w:tblPrEx/>
        <w:trPr>
          <w:trHeight w:val="253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215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Курортное дело 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</w:t>
            </w:r>
            <w:r/>
            <w:r/>
          </w:p>
        </w:tc>
      </w:tr>
      <w:tr>
        <w:tblPrEx/>
        <w:trPr>
          <w:trHeight w:val="418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215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Создание, ликвидация и реорганизация медицинских учреждений и организаций 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</w:t>
            </w:r>
            <w:r/>
            <w:r/>
          </w:p>
        </w:tc>
      </w:tr>
      <w:tr>
        <w:tblPrEx/>
        <w:trPr>
          <w:trHeight w:val="283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215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Заработная плата медицинских работников 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</w:t>
            </w:r>
            <w:r/>
            <w:r/>
          </w:p>
        </w:tc>
      </w:tr>
      <w:tr>
        <w:tblPrEx/>
        <w:trPr>
          <w:trHeight w:val="559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215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Помещение в больницы и специализированные лечебные учреждения. Оплата за лечение, пребывание в лечебных учреждениях 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</w:t>
            </w:r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215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Служба скорой и неотложной медицинской помощи 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</w:t>
            </w:r>
            <w:r/>
            <w:r/>
          </w:p>
        </w:tc>
      </w:tr>
      <w:tr>
        <w:tblPrEx/>
        <w:trPr>
          <w:trHeight w:val="276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215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Медицинские советы, народная и нетрадиционная медицина 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</w:t>
            </w:r>
            <w:r/>
            <w:r/>
          </w:p>
        </w:tc>
      </w:tr>
      <w:tr>
        <w:tblPrEx/>
        <w:trPr>
          <w:trHeight w:val="57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215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Психоневрологические диспансеры (ПНД). Помещение и лечение в ПНД. Снятие с учета в ПНД 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</w:t>
            </w:r>
            <w:r/>
            <w:r/>
          </w:p>
        </w:tc>
      </w:tr>
      <w:tr>
        <w:tblPrEx/>
        <w:trPr>
          <w:trHeight w:val="26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215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Развитие здравоохранения 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</w:t>
            </w:r>
            <w:r/>
            <w:r/>
          </w:p>
        </w:tc>
      </w:tr>
      <w:tr>
        <w:tblPrEx/>
        <w:trPr>
          <w:trHeight w:val="273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215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Оказание медицинской помощи детям в амбулаторно-поликлинических условиях 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</w:t>
            </w:r>
            <w:r/>
            <w:r/>
          </w:p>
        </w:tc>
      </w:tr>
      <w:tr>
        <w:tblPrEx/>
        <w:trPr>
          <w:trHeight w:val="414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215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Качество оказания медицинской помощи детям в амбулаторно-поликлинических условиях 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</w:t>
            </w:r>
            <w:r/>
            <w:r/>
          </w:p>
        </w:tc>
      </w:tr>
      <w:tr>
        <w:tblPrEx/>
        <w:trPr>
          <w:trHeight w:val="377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215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Организация оказания медицинской помощи взрослым в стационарных условиях 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</w:t>
            </w:r>
            <w:r/>
            <w:r/>
          </w:p>
        </w:tc>
      </w:tr>
      <w:tr>
        <w:tblPrEx/>
        <w:trPr>
          <w:trHeight w:val="352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215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Квоты на оказание высокотехнологической медицинской помощи 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</w:t>
            </w:r>
            <w:r/>
            <w:r/>
          </w:p>
        </w:tc>
      </w:tr>
      <w:tr>
        <w:tblPrEx/>
        <w:trPr>
          <w:trHeight w:val="37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215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Медицинская экспертиза и медицинское освидетельствование 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</w:t>
            </w:r>
            <w:r/>
            <w:r/>
          </w:p>
        </w:tc>
      </w:tr>
      <w:tr>
        <w:tblPrEx/>
        <w:trPr>
          <w:trHeight w:val="33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215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Материально-техническое и финансовое обеспечение в сфере здравоохранения 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</w:t>
            </w:r>
            <w:r/>
            <w:r/>
          </w:p>
        </w:tc>
      </w:tr>
      <w:tr>
        <w:tblPrEx/>
        <w:trPr>
          <w:trHeight w:val="294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215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Борьба с социально значимыми заболеваниями (СПИД, туберкулез) 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</w:t>
            </w:r>
            <w:r/>
            <w:r/>
          </w:p>
        </w:tc>
      </w:tr>
      <w:tr>
        <w:tblPrEx/>
        <w:trPr>
          <w:trHeight w:val="37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215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Государственный контроль и надзор в сфере здравоохранения 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</w:t>
            </w:r>
            <w:r/>
            <w:r/>
          </w:p>
        </w:tc>
      </w:tr>
      <w:tr>
        <w:tblPrEx/>
        <w:trPr>
          <w:trHeight w:val="368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215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Санитарно-эпидемиологическое благополучие населения 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</w:t>
            </w:r>
            <w:r/>
            <w:r/>
          </w:p>
        </w:tc>
      </w:tr>
      <w:tr>
        <w:tblPrEx/>
        <w:trPr>
          <w:trHeight w:val="334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215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Физическая культура и спорт (за исключением международного сотрудничества) 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</w:t>
            </w:r>
            <w:r/>
            <w:r/>
          </w:p>
        </w:tc>
      </w:tr>
      <w:tr>
        <w:tblPrEx/>
        <w:trPr>
          <w:trHeight w:val="245"/>
        </w:trPr>
        <w:tc>
          <w:tcPr>
            <w:shd w:val="clear" w:color="daeef3" w:fill="daeef3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215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Итого</w:t>
            </w:r>
            <w:r/>
            <w:r/>
          </w:p>
        </w:tc>
        <w:tc>
          <w:tcPr>
            <w:shd w:val="clear" w:color="daeef3" w:fill="daeef3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2663</w:t>
            </w:r>
            <w:r/>
            <w:r/>
          </w:p>
        </w:tc>
      </w:tr>
    </w:tbl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Ранжирование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медицинских учреждений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по количеству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поступивших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ОГ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за 3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квартал 2026 года: 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65755" cy="5295360"/>
                <wp:effectExtent l="0" t="0" r="0" b="0"/>
                <wp:docPr id="5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89633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 flipH="0" flipV="0">
                          <a:off x="0" y="0"/>
                          <a:ext cx="5765754" cy="529535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54.00pt;height:416.96pt;mso-wrap-distance-left:0.00pt;mso-wrap-distance-top:0.00pt;mso-wrap-distance-right:0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Структура обращений граждан, поступивших на </w:t>
      </w:r>
      <w:r>
        <w:rPr>
          <w:rFonts w:ascii="Times New Roman" w:hAnsi="Times New Roman" w:cs="Times New Roman"/>
          <w:b/>
          <w:sz w:val="28"/>
          <w:szCs w:val="28"/>
        </w:rPr>
        <w:t xml:space="preserve">Е</w:t>
      </w:r>
      <w:r>
        <w:rPr>
          <w:rFonts w:ascii="Times New Roman" w:hAnsi="Times New Roman" w:cs="Times New Roman"/>
          <w:b/>
          <w:sz w:val="28"/>
          <w:szCs w:val="28"/>
        </w:rPr>
        <w:t xml:space="preserve">ПГ</w:t>
      </w:r>
      <w:r>
        <w:rPr>
          <w:rFonts w:ascii="Times New Roman" w:hAnsi="Times New Roman" w:cs="Times New Roman"/>
          <w:b/>
          <w:sz w:val="28"/>
          <w:szCs w:val="28"/>
        </w:rPr>
        <w:t xml:space="preserve">У</w:t>
      </w:r>
      <w:bookmarkStart w:id="0" w:name="_GoBack"/>
      <w:r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:</w:t>
      </w:r>
      <w:r>
        <w:rPr>
          <w:rFonts w:ascii="Times New Roman" w:hAnsi="Times New Roman" w:cs="Times New Roman"/>
          <w:b/>
          <w:sz w:val="28"/>
          <w:szCs w:val="28"/>
        </w:rPr>
      </w:r>
    </w:p>
    <w:tbl>
      <w:tblPr>
        <w:tblStyle w:val="728"/>
        <w:tblW w:w="0" w:type="auto"/>
        <w:tblLayout w:type="fixed"/>
        <w:tblLook w:val="04A0" w:firstRow="1" w:lastRow="0" w:firstColumn="1" w:lastColumn="0" w:noHBand="0" w:noVBand="1"/>
      </w:tblPr>
      <w:tblGrid>
        <w:gridCol w:w="8932"/>
        <w:gridCol w:w="1417"/>
      </w:tblGrid>
      <w:tr>
        <w:tblPrEx/>
        <w:trPr>
          <w:trHeight w:val="300"/>
        </w:trPr>
        <w:tc>
          <w:tcPr>
            <w:shd w:val="clear" w:color="daeef3" w:fill="daeef3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32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Тематика</w:t>
            </w:r>
            <w:r/>
            <w:r/>
          </w:p>
        </w:tc>
        <w:tc>
          <w:tcPr>
            <w:shd w:val="clear" w:color="daeef3" w:fill="daeef3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Количество</w:t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32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Итого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9282</w:t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32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Электронные медицинские документы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3416</w:t>
            </w:r>
            <w:r/>
            <w:r/>
          </w:p>
        </w:tc>
      </w:tr>
      <w:tr>
        <w:tblPrEx/>
        <w:trPr>
          <w:trHeight w:val="34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32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Проблемы с выбором временного слота для записи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1848</w:t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32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Проблемы с выбором медицинского специалиста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1682</w:t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32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Проблемы с больничным листом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531</w:t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32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Справочные службы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317</w:t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32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Иное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243</w:t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32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Проблемы с посещением врача по записи на прием к врачу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234</w:t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32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Проблемы с выбором региона при записи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157</w:t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32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Проблемы с прикреплением к медицинской организации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157</w:t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32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Запись на приём к врачу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118</w:t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32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Врачи-специалисты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96</w:t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32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Медицинская помощь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87</w:t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32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Другое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71</w:t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32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Лекарственные препараты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44</w:t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32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Вопросы по получению медицинской помощи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41</w:t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32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Медицинская карта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32</w:t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32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Жалоба на медработника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24</w:t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32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Некорректная информация о моей записи к врачу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24</w:t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32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Прикрепление к медицинской организации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18</w:t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32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Вопрос по льготным рецептам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17</w:t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32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Вопросы с прохождением диспансеризации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15</w:t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32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Вопросы по донорству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14</w:t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32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Содержание помещений медицинских учреждений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14</w:t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32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Консультация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13</w:t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32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Вопрос по категории льготы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12</w:t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32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Жалоба на медицинскую организацию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10</w:t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32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Вызов врача на дом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9</w:t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32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Вызов скорой помощи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7</w:t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32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Жалоба на качество оказания медицинской помощи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5</w:t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32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Государственный контроль качества и безопасности медицинской деятельности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3</w:t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32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Обращение на 112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3</w:t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32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Очередь на приём к врачу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3</w:t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32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Безбарьерная среда для инвалидов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</w:t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32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Диспансеризация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</w:t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32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Запись на вакцинацию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</w:t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32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Молочная кухня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</w:t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32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Проблема с лекарственным обеспечением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2</w:t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32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Аптеки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</w:t>
            </w:r>
            <w:r/>
            <w:r/>
          </w:p>
        </w:tc>
      </w:tr>
      <w:tr>
        <w:tblPrEx/>
        <w:trPr>
          <w:trHeight w:val="6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32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Запись на углубленную диспансеризацию после перенесенной новой коронавирусной инфекции (COVID-19)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</w:t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32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Медицинское оборудование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</w:t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32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Нарушение нормативов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</w:t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32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Обращение на 103, 03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</w:t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32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Обращение на 122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</w:t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932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Проблемы связанные с медицинским персоналом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1</w:t>
            </w:r>
            <w:r/>
            <w:r/>
          </w:p>
        </w:tc>
      </w:tr>
    </w:tbl>
    <w:p>
      <w:pPr>
        <w:jc w:val="both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здравоохранения Пермского края внимательно анализирует проблемы, с которыми обращаются жители края. Именно благодаря </w:t>
      </w:r>
      <w:r>
        <w:rPr>
          <w:rFonts w:ascii="Times New Roman" w:hAnsi="Times New Roman" w:cs="Times New Roman"/>
          <w:sz w:val="28"/>
          <w:szCs w:val="28"/>
        </w:rPr>
        <w:t xml:space="preserve">информации от непосредственных получателей медицинских услуг о работе учреждений здравоохранения Пермского края, быстрее и эффективнее принимаются решения по вопросам дальнейшего развития медицинской отрасли, улучшению качества оказания медицинской помощи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крае.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2240" w:h="15840" w:orient="portrait"/>
      <w:pgMar w:top="1134" w:right="850" w:bottom="284" w:left="993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Symbol">
    <w:panose1 w:val="05010000000000000000"/>
  </w:font>
  <w:font w:name="Times New Roman">
    <w:panose1 w:val="02020603050405020304"/>
  </w:font>
  <w:font w:name="Tahoma">
    <w:panose1 w:val="020B06040305040402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03"/>
      <w:numFmt w:val="bullet"/>
      <w:isLgl w:val="false"/>
      <w:suff w:val="tab"/>
      <w:lvlText w:val=""/>
      <w:lvlJc w:val="left"/>
      <w:pPr>
        <w:ind w:left="1069" w:hanging="360"/>
      </w:pPr>
      <w:rPr>
        <w:rFonts w:hint="default" w:ascii="Symbol" w:hAnsi="Symbol" w:cs="Times New Roman" w:eastAsiaTheme="minorHAnsi"/>
      </w:rPr>
    </w:lvl>
    <w:lvl w:ilvl="1">
      <w:start w:val="1"/>
      <w:numFmt w:val="bullet"/>
      <w:isLgl w:val="false"/>
      <w:suff w:val="tab"/>
      <w:lvlText w:val="o"/>
      <w:lvlJc w:val="left"/>
      <w:pPr>
        <w:ind w:left="178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9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8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58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30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02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74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46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18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90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62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21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32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48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50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2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4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6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8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0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2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4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60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20"/>
      <w:numFmt w:val="bullet"/>
      <w:isLgl w:val="false"/>
      <w:suff w:val="tab"/>
      <w:lvlText w:val=""/>
      <w:lvlJc w:val="left"/>
      <w:pPr>
        <w:ind w:left="1069" w:hanging="360"/>
      </w:pPr>
      <w:rPr>
        <w:rFonts w:hint="default" w:ascii="Symbol" w:hAnsi="Symbol" w:cs="Times New Roman" w:eastAsiaTheme="minorHAnsi"/>
      </w:rPr>
    </w:lvl>
    <w:lvl w:ilvl="1">
      <w:start w:val="1"/>
      <w:numFmt w:val="bullet"/>
      <w:isLgl w:val="false"/>
      <w:suff w:val="tab"/>
      <w:lvlText w:val="o"/>
      <w:lvlJc w:val="left"/>
      <w:pPr>
        <w:ind w:left="178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9" w:hanging="360"/>
      </w:pPr>
      <w:rPr>
        <w:rFonts w:hint="default" w:ascii="Wingdings" w:hAnsi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8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4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429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50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2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4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6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8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0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2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4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60" w:hanging="360"/>
      </w:pPr>
      <w:rPr>
        <w:rFonts w:hint="default" w:ascii="Wingdings" w:hAnsi="Wingdings"/>
      </w:r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93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65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37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09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81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53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25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97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695" w:hanging="360"/>
      </w:pPr>
      <w:rPr>
        <w:rFonts w:hint="default" w:ascii="Wingdings" w:hAnsi="Wingdings"/>
      </w:r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50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2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4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6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8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0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2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4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60" w:hanging="360"/>
      </w:pPr>
      <w:rPr>
        <w:rFonts w:hint="default" w:ascii="Wingdings" w:hAnsi="Wingdings"/>
      </w:r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num w:numId="1">
    <w:abstractNumId w:val="14"/>
  </w:num>
  <w:num w:numId="2">
    <w:abstractNumId w:val="27"/>
  </w:num>
  <w:num w:numId="3">
    <w:abstractNumId w:val="25"/>
  </w:num>
  <w:num w:numId="4">
    <w:abstractNumId w:val="33"/>
  </w:num>
  <w:num w:numId="5">
    <w:abstractNumId w:val="19"/>
  </w:num>
  <w:num w:numId="6">
    <w:abstractNumId w:val="1"/>
  </w:num>
  <w:num w:numId="7">
    <w:abstractNumId w:val="26"/>
  </w:num>
  <w:num w:numId="8">
    <w:abstractNumId w:val="31"/>
  </w:num>
  <w:num w:numId="9">
    <w:abstractNumId w:val="2"/>
  </w:num>
  <w:num w:numId="10">
    <w:abstractNumId w:val="13"/>
  </w:num>
  <w:num w:numId="11">
    <w:abstractNumId w:val="10"/>
  </w:num>
  <w:num w:numId="12">
    <w:abstractNumId w:val="21"/>
  </w:num>
  <w:num w:numId="13">
    <w:abstractNumId w:val="28"/>
  </w:num>
  <w:num w:numId="14">
    <w:abstractNumId w:val="3"/>
  </w:num>
  <w:num w:numId="15">
    <w:abstractNumId w:val="7"/>
  </w:num>
  <w:num w:numId="16">
    <w:abstractNumId w:val="15"/>
  </w:num>
  <w:num w:numId="17">
    <w:abstractNumId w:val="8"/>
  </w:num>
  <w:num w:numId="18">
    <w:abstractNumId w:val="18"/>
  </w:num>
  <w:num w:numId="19">
    <w:abstractNumId w:val="12"/>
  </w:num>
  <w:num w:numId="20">
    <w:abstractNumId w:val="4"/>
  </w:num>
  <w:num w:numId="21">
    <w:abstractNumId w:val="11"/>
  </w:num>
  <w:num w:numId="22">
    <w:abstractNumId w:val="6"/>
  </w:num>
  <w:num w:numId="23">
    <w:abstractNumId w:val="22"/>
  </w:num>
  <w:num w:numId="24">
    <w:abstractNumId w:val="24"/>
  </w:num>
  <w:num w:numId="25">
    <w:abstractNumId w:val="0"/>
  </w:num>
  <w:num w:numId="26">
    <w:abstractNumId w:val="20"/>
  </w:num>
  <w:num w:numId="27">
    <w:abstractNumId w:val="32"/>
  </w:num>
  <w:num w:numId="28">
    <w:abstractNumId w:val="5"/>
  </w:num>
  <w:num w:numId="29">
    <w:abstractNumId w:val="9"/>
  </w:num>
  <w:num w:numId="30">
    <w:abstractNumId w:val="30"/>
  </w:num>
  <w:num w:numId="31">
    <w:abstractNumId w:val="16"/>
  </w:num>
  <w:num w:numId="32">
    <w:abstractNumId w:val="34"/>
  </w:num>
  <w:num w:numId="33">
    <w:abstractNumId w:val="29"/>
  </w:num>
  <w:num w:numId="34">
    <w:abstractNumId w:val="23"/>
  </w:num>
  <w:num w:numId="3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724"/>
    <w:next w:val="724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725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724"/>
    <w:next w:val="724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725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724"/>
    <w:next w:val="724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725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724"/>
    <w:next w:val="724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725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724"/>
    <w:next w:val="724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725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724"/>
    <w:next w:val="724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725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724"/>
    <w:next w:val="724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725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724"/>
    <w:next w:val="724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725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724"/>
    <w:next w:val="724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725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724"/>
    <w:next w:val="724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725"/>
    <w:link w:val="35"/>
    <w:uiPriority w:val="10"/>
    <w:rPr>
      <w:sz w:val="48"/>
      <w:szCs w:val="48"/>
    </w:rPr>
  </w:style>
  <w:style w:type="paragraph" w:styleId="37">
    <w:name w:val="Subtitle"/>
    <w:basedOn w:val="724"/>
    <w:next w:val="724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725"/>
    <w:link w:val="37"/>
    <w:uiPriority w:val="11"/>
    <w:rPr>
      <w:sz w:val="24"/>
      <w:szCs w:val="24"/>
    </w:rPr>
  </w:style>
  <w:style w:type="paragraph" w:styleId="39">
    <w:name w:val="Quote"/>
    <w:basedOn w:val="724"/>
    <w:next w:val="724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724"/>
    <w:next w:val="724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724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725"/>
    <w:link w:val="43"/>
    <w:uiPriority w:val="99"/>
  </w:style>
  <w:style w:type="paragraph" w:styleId="45">
    <w:name w:val="Footer"/>
    <w:basedOn w:val="724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725"/>
    <w:link w:val="45"/>
    <w:uiPriority w:val="99"/>
  </w:style>
  <w:style w:type="paragraph" w:styleId="47">
    <w:name w:val="Caption"/>
    <w:basedOn w:val="724"/>
    <w:next w:val="724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725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72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72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72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7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7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7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7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7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7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7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7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7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7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7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7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7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7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7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7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7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7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7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7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7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7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724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725"/>
    <w:uiPriority w:val="99"/>
    <w:unhideWhenUsed/>
    <w:rPr>
      <w:vertAlign w:val="superscript"/>
    </w:rPr>
  </w:style>
  <w:style w:type="character" w:styleId="180">
    <w:name w:val="Endnote Text Char"/>
    <w:link w:val="732"/>
    <w:uiPriority w:val="99"/>
    <w:rPr>
      <w:sz w:val="20"/>
    </w:rPr>
  </w:style>
  <w:style w:type="paragraph" w:styleId="182">
    <w:name w:val="toc 1"/>
    <w:basedOn w:val="724"/>
    <w:next w:val="724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724"/>
    <w:next w:val="724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724"/>
    <w:next w:val="724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724"/>
    <w:next w:val="724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724"/>
    <w:next w:val="724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724"/>
    <w:next w:val="724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724"/>
    <w:next w:val="724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724"/>
    <w:next w:val="724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724"/>
    <w:next w:val="724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724"/>
    <w:next w:val="724"/>
    <w:uiPriority w:val="99"/>
    <w:unhideWhenUsed/>
    <w:pPr>
      <w:spacing w:after="0" w:afterAutospacing="0"/>
    </w:pPr>
  </w:style>
  <w:style w:type="paragraph" w:styleId="724" w:default="1">
    <w:name w:val="Normal"/>
    <w:qFormat/>
  </w:style>
  <w:style w:type="character" w:styleId="725" w:default="1">
    <w:name w:val="Default Paragraph Font"/>
    <w:uiPriority w:val="1"/>
    <w:semiHidden/>
    <w:unhideWhenUsed/>
  </w:style>
  <w:style w:type="table" w:styleId="72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7" w:default="1">
    <w:name w:val="No List"/>
    <w:uiPriority w:val="99"/>
    <w:semiHidden/>
    <w:unhideWhenUsed/>
  </w:style>
  <w:style w:type="table" w:styleId="728">
    <w:name w:val="Table Grid"/>
    <w:basedOn w:val="72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729">
    <w:name w:val="List Paragraph"/>
    <w:basedOn w:val="724"/>
    <w:uiPriority w:val="34"/>
    <w:qFormat/>
    <w:pPr>
      <w:contextualSpacing/>
      <w:ind w:left="720"/>
    </w:pPr>
  </w:style>
  <w:style w:type="paragraph" w:styleId="730">
    <w:name w:val="Balloon Text"/>
    <w:basedOn w:val="724"/>
    <w:link w:val="731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731" w:customStyle="1">
    <w:name w:val="Текст выноски Знак"/>
    <w:basedOn w:val="725"/>
    <w:link w:val="730"/>
    <w:uiPriority w:val="99"/>
    <w:semiHidden/>
    <w:rPr>
      <w:rFonts w:ascii="Tahoma" w:hAnsi="Tahoma" w:cs="Tahoma"/>
      <w:sz w:val="16"/>
      <w:szCs w:val="16"/>
    </w:rPr>
  </w:style>
  <w:style w:type="paragraph" w:styleId="732">
    <w:name w:val="endnote text"/>
    <w:basedOn w:val="724"/>
    <w:link w:val="733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733" w:customStyle="1">
    <w:name w:val="Текст концевой сноски Знак"/>
    <w:basedOn w:val="725"/>
    <w:link w:val="732"/>
    <w:uiPriority w:val="99"/>
    <w:semiHidden/>
    <w:rPr>
      <w:sz w:val="20"/>
      <w:szCs w:val="20"/>
    </w:rPr>
  </w:style>
  <w:style w:type="character" w:styleId="734">
    <w:name w:val="endnote reference"/>
    <w:basedOn w:val="725"/>
    <w:uiPriority w:val="99"/>
    <w:semiHidden/>
    <w:unhideWhenUsed/>
    <w:rPr>
      <w:vertAlign w:val="superscript"/>
    </w:rPr>
  </w:style>
  <w:style w:type="character" w:styleId="735">
    <w:name w:val="Hyperlink"/>
    <w:basedOn w:val="725"/>
    <w:uiPriority w:val="99"/>
    <w:semiHidden/>
    <w:unhideWhenUsed/>
    <w:rPr>
      <w:color w:val="0563c1"/>
      <w:u w:val="single"/>
    </w:rPr>
  </w:style>
  <w:style w:type="character" w:styleId="736">
    <w:name w:val="FollowedHyperlink"/>
    <w:basedOn w:val="725"/>
    <w:uiPriority w:val="99"/>
    <w:semiHidden/>
    <w:unhideWhenUsed/>
    <w:rPr>
      <w:color w:val="954f72"/>
      <w:u w:val="single"/>
    </w:rPr>
  </w:style>
  <w:style w:type="paragraph" w:styleId="737" w:customStyle="1">
    <w:name w:val="xl65"/>
    <w:basedOn w:val="724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38" w:customStyle="1">
    <w:name w:val="xl66"/>
    <w:basedOn w:val="724"/>
    <w:pPr>
      <w:spacing w:before="100" w:beforeAutospacing="1" w:after="100" w:afterAutospacing="1" w:line="240" w:lineRule="auto"/>
      <w:shd w:val="clear" w:color="000000" w:fill="ffffff"/>
      <w:pBdr>
        <w:left w:val="single" w:color="000000" w:sz="4" w:space="0"/>
        <w:bottom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39" w:customStyle="1">
    <w:name w:val="xl67"/>
    <w:basedOn w:val="724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40" w:customStyle="1">
    <w:name w:val="xl68"/>
    <w:basedOn w:val="724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41" w:customStyle="1">
    <w:name w:val="xl69"/>
    <w:basedOn w:val="724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42" w:customStyle="1">
    <w:name w:val="xl71"/>
    <w:basedOn w:val="724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43" w:customStyle="1">
    <w:name w:val="xl72"/>
    <w:basedOn w:val="724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44" w:customStyle="1">
    <w:name w:val="xl73"/>
    <w:basedOn w:val="724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45" w:customStyle="1">
    <w:name w:val="xl74"/>
    <w:basedOn w:val="724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46" w:customStyle="1">
    <w:name w:val="xl75"/>
    <w:basedOn w:val="724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47" w:customStyle="1">
    <w:name w:val="xl76"/>
    <w:basedOn w:val="724"/>
    <w:pPr>
      <w:spacing w:before="100" w:beforeAutospacing="1" w:after="100" w:afterAutospacing="1" w:line="240" w:lineRule="auto"/>
      <w:shd w:val="clear" w:color="000000" w:fill="ffffff"/>
      <w:pBdr>
        <w:top w:val="single" w:color="000000" w:sz="8" w:space="0"/>
        <w:left w:val="single" w:color="000000" w:sz="8" w:space="0"/>
        <w:bottom w:val="single" w:color="000000" w:sz="8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48" w:customStyle="1">
    <w:name w:val="xl77"/>
    <w:basedOn w:val="724"/>
    <w:pPr>
      <w:spacing w:before="100" w:beforeAutospacing="1" w:after="100" w:afterAutospacing="1" w:line="240" w:lineRule="auto"/>
      <w:shd w:val="clear" w:color="000000" w:fill="ffffff"/>
      <w:pBdr>
        <w:top w:val="single" w:color="000000" w:sz="8" w:space="0"/>
        <w:left w:val="single" w:color="000000" w:sz="8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49" w:customStyle="1">
    <w:name w:val="xl78"/>
    <w:basedOn w:val="724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750" w:customStyle="1">
    <w:name w:val="xl79"/>
    <w:basedOn w:val="724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751" w:customStyle="1">
    <w:name w:val="xl80"/>
    <w:basedOn w:val="724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b/>
      <w:bCs/>
      <w:color w:val="000000"/>
      <w:sz w:val="24"/>
      <w:szCs w:val="24"/>
      <w:lang w:eastAsia="ru-RU"/>
    </w:rPr>
  </w:style>
  <w:style w:type="paragraph" w:styleId="752" w:customStyle="1">
    <w:name w:val="xl81"/>
    <w:basedOn w:val="724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53" w:customStyle="1">
    <w:name w:val="xl82"/>
    <w:basedOn w:val="724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54" w:customStyle="1">
    <w:name w:val="xl83"/>
    <w:basedOn w:val="724"/>
    <w:pPr>
      <w:jc w:val="right"/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55" w:customStyle="1">
    <w:name w:val="xl84"/>
    <w:basedOn w:val="724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56">
    <w:name w:val="Normal (Web)"/>
    <w:basedOn w:val="724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chart" Target="charts/chart1.xml" /><Relationship Id="rId11" Type="http://schemas.openxmlformats.org/officeDocument/2006/relationships/chart" Target="charts/chart2.xml" /><Relationship Id="rId12" Type="http://schemas.openxmlformats.org/officeDocument/2006/relationships/chart" Target="charts/chart3.xml" /><Relationship Id="rId13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charts/_rels/chart1.xml.rels><?xml version="1.0" encoding="UTF-8" standalone="yes"?><Relationships xmlns="http://schemas.openxmlformats.org/package/2006/relationships"><Relationship Id="rId1" Type="http://schemas.microsoft.com/office/2011/relationships/chartStyle" Target="style1.xml" /><Relationship Id="rId2" Type="http://schemas.microsoft.com/office/2011/relationships/chartColorStyle" Target="colors1.xml" /><Relationship Id="rId3" Type="http://schemas.openxmlformats.org/officeDocument/2006/relationships/package" Target="../embeddings/Microsoft_Excel_Worksheet1.xlsx" /></Relationships>
</file>

<file path=word/charts/_rels/chart2.xml.rels><?xml version="1.0" encoding="UTF-8" standalone="yes"?><Relationships xmlns="http://schemas.openxmlformats.org/package/2006/relationships"><Relationship Id="rId1" Type="http://schemas.microsoft.com/office/2011/relationships/chartStyle" Target="style2.xml" /><Relationship Id="rId2" Type="http://schemas.microsoft.com/office/2011/relationships/chartColorStyle" Target="colors2.xml" /><Relationship Id="rId3" Type="http://schemas.openxmlformats.org/officeDocument/2006/relationships/package" Target="../embeddings/Microsoft_Excel_Worksheet2.xlsx" /></Relationships>
</file>

<file path=word/charts/_rels/chart3.xml.rels><?xml version="1.0" encoding="UTF-8" standalone="yes"?><Relationships xmlns="http://schemas.openxmlformats.org/package/2006/relationships"><Relationship Id="rId1" Type="http://schemas.microsoft.com/office/2011/relationships/chartStyle" Target="style3.xml" /><Relationship Id="rId2" Type="http://schemas.microsoft.com/office/2011/relationships/chartColorStyle" Target="colors3.xml" /><Relationship Id="rId3" Type="http://schemas.openxmlformats.org/officeDocument/2006/relationships/package" Target="../embeddings/Microsoft_Excel_Worksheet3.xlsx" 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en-US"/>
  <c:roundedCorners val="0"/>
  <mc:AlternateContent>
    <mc:Choice Requires="c14">
      <c14:style val="102"/>
    </mc:Choice>
    <mc:Fallback>
      <c:style val="2"/>
    </mc:Fallback>
  </mc:AlternateContent>
  <c:chart>
    <c:autoTitleDeleted val="0"/>
    <c:plotArea>
      <c:layout>
        <c:manualLayout/>
      </c:layout>
      <c:barChart>
        <c:barDir val="col"/>
        <c:grouping val="clustered"/>
        <c:varyColors val="0"/>
        <c:ser>
          <c:idx val="0"/>
          <c:order val="0"/>
          <c:spPr bwMode="auto">
            <a:prstGeom prst="rect">
              <a:avLst/>
            </a:prstGeom>
            <a:solidFill>
              <a:schemeClr val="accent1"/>
            </a:solidFill>
            <a:ln>
              <a:noFill/>
            </a:ln>
          </c:spPr>
          <c:invertIfNegative val="0"/>
          <c:dLbls>
            <c:dLblPos val="outEnd"/>
            <c:separator xml:space="preserve"> </c:separator>
            <c:showBubbleSize val="0"/>
            <c:showCatName val="0"/>
            <c:showLeaderLines val="0"/>
            <c:showLegendKey val="0"/>
            <c:showPercent val="0"/>
            <c:showSerName val="0"/>
            <c:showVal val="1"/>
            <c:spPr bwMode="auto">
              <a:prstGeom prst="rect">
                <a:avLst/>
              </a:prstGeom>
              <a:noFill/>
              <a:ln>
                <a:noFill/>
              </a:ln>
            </c:spPr>
            <c:txPr>
              <a:bodyPr/>
              <a:p>
                <a:pPr>
                  <a:defRPr sz="90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/>
              </a:p>
            </c:txPr>
          </c:dLbls>
          <c:cat>
            <c:strRef>
              <c:f>Лист1!$C$12:$E$12</c:f>
              <c:strCache>
                <c:ptCount val="3"/>
                <c:pt idx="0">
                  <c:v xml:space="preserve">1 квартал 2026</c:v>
                </c:pt>
                <c:pt idx="1">
                  <c:v xml:space="preserve">2 квартал 2026</c:v>
                </c:pt>
                <c:pt idx="2">
                  <c:v xml:space="preserve">3 квартал 2026</c:v>
                </c:pt>
              </c:strCache>
            </c:strRef>
          </c:cat>
          <c:val>
            <c:numRef>
              <c:f>Лист1!$C$13:$E$13</c:f>
              <c:numCache>
                <c:formatCode>#,##0</c:formatCode>
                <c:ptCount val="3"/>
                <c:pt idx="0">
                  <c:v>17835</c:v>
                </c:pt>
                <c:pt idx="1">
                  <c:v>16271</c:v>
                </c:pt>
                <c:pt idx="2">
                  <c:v>15924</c:v>
                </c:pt>
              </c:numCache>
            </c:numRef>
          </c:val>
        </c:ser>
        <c:dLbls>
          <c:dLblPos val="outEnd"/>
          <c:separator xml:space="preserve"> </c:separator>
          <c:showBubbleSize val="0"/>
          <c:showCatName val="0"/>
          <c:showLeaderLines val="0"/>
          <c:showLegendKey val="0"/>
          <c:showPercent val="0"/>
          <c:showSerName val="0"/>
          <c:showVal val="1"/>
          <c:spPr bwMode="auto">
            <a:prstGeom prst="rect">
              <a:avLst/>
            </a:prstGeom>
            <a:noFill/>
            <a:ln>
              <a:noFill/>
            </a:ln>
          </c:spPr>
          <c:txPr>
            <a:bodyPr/>
            <a:p>
              <a:pPr>
                <a:defRPr sz="90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/>
            </a:p>
          </c:txPr>
        </c:dLbls>
        <c:gapWidth val="219"/>
        <c:overlap val="-26"/>
        <c:axId val="1866169497"/>
        <c:axId val="1866169498"/>
      </c:barChart>
      <c:catAx>
        <c:axId val="186616949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 bwMode="auto">
          <a:prstGeom prst="rect">
            <a:avLst/>
          </a:prstGeom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</c:spPr>
        <c:txPr>
          <a:bodyPr/>
          <a:p>
            <a:pPr>
              <a:defRPr sz="900">
                <a:solidFill>
                  <a:schemeClr val="tx1">
                    <a:lumMod val="65000"/>
                    <a:lumOff val="35000"/>
                  </a:schemeClr>
                </a:solidFill>
                <a:latin typeface="Liberation Sans"/>
                <a:ea typeface="Liberation Sans"/>
                <a:cs typeface="Liberation Sans"/>
              </a:defRPr>
            </a:pPr>
            <a:endParaRPr/>
          </a:p>
        </c:txPr>
        <c:crossAx val="1866169498"/>
        <c:crosses val="autoZero"/>
        <c:auto val="1"/>
        <c:lblAlgn val="ctr"/>
        <c:lblOffset val="100"/>
        <c:tickMarkSkip val="1"/>
        <c:noMultiLvlLbl val="0"/>
      </c:catAx>
      <c:valAx>
        <c:axId val="1866169498"/>
        <c:scaling>
          <c:orientation val="minMax"/>
        </c:scaling>
        <c:delete val="1"/>
        <c:axPos val="l"/>
        <c:majorGridlines>
          <c:spPr bwMode="auto">
            <a:prstGeom prst="rect">
              <a:avLst/>
            </a:prstGeom>
            <a:noFill/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</c:spPr>
        </c:majorGridlines>
        <c:numFmt formatCode="#,##0" sourceLinked="1"/>
        <c:majorTickMark val="none"/>
        <c:minorTickMark val="none"/>
        <c:tickLblPos val="nextTo"/>
        <c:spPr bwMode="auto">
          <a:prstGeom prst="rect">
            <a:avLst/>
          </a:prstGeom>
          <a:noFill/>
          <a:ln>
            <a:noFill/>
          </a:ln>
        </c:spPr>
        <c:txPr>
          <a:bodyPr/>
          <a:p>
            <a:pPr>
              <a:defRPr sz="90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/>
          </a:p>
        </c:txPr>
        <c:crossAx val="1866169497"/>
        <c:crosses val="autoZero"/>
        <c:crossBetween val="between"/>
      </c:valAx>
      <c:spPr bwMode="auto">
        <a:prstGeom prst="rect">
          <a:avLst/>
        </a:prstGeom>
        <a:noFill/>
        <a:ln>
          <a:noFill/>
        </a:ln>
      </c:spPr>
    </c:plotArea>
    <c:plotVisOnly val="1"/>
    <c:dispBlanksAs val="gap"/>
    <c:showDLblsOverMax val="0"/>
  </c:chart>
  <c:spPr bwMode="auto">
    <a:xfrm>
      <a:off x="0" y="0"/>
      <a:ext cx="4552948" cy="2724148"/>
    </a:xfrm>
    <a:prstGeom prst="rect">
      <a:avLst/>
    </a:prstGeom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</c:spPr>
  <c:txPr>
    <a:bodyPr/>
    <a:p>
      <a:pPr>
        <a:defRPr sz="1000">
          <a:solidFill>
            <a:schemeClr val="tx1"/>
          </a:solidFill>
          <a:latin typeface="+mn-lt"/>
          <a:ea typeface="+mn-ea"/>
          <a:cs typeface="+mn-cs"/>
        </a:defRPr>
      </a:pPr>
      <a:endParaRPr/>
    </a:p>
  </c:txPr>
  <c:externalData r:id="rId3">
    <c:autoUpdate val="0"/>
  </c:externalData>
  <c:printSettings>
    <c:headerFooter/>
    <c:pageMargins l="0.69999999999999996" r="0.69999999999999996" t="0.75" b="0.75" header="0.29999999999999999" footer="0.29999999999999999"/>
    <c:pageSetup/>
  </c:printSettings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en-US"/>
  <c:roundedCorners val="0"/>
  <mc:AlternateContent>
    <mc:Choice Requires="c14">
      <c14:style val="102"/>
    </mc:Choice>
    <mc:Fallback>
      <c:style val="2"/>
    </mc:Fallback>
  </mc:AlternateContent>
  <c:chart>
    <c:autoTitleDeleted val="0"/>
    <c:plotArea>
      <c:layout>
        <c:manualLayout/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Лист1!$B$13</c:f>
              <c:strCache>
                <c:ptCount val="1"/>
                <c:pt idx="0">
                  <c:v>122</c:v>
                </c:pt>
              </c:strCache>
            </c:strRef>
          </c:tx>
          <c:spPr bwMode="auto">
            <a:prstGeom prst="rect">
              <a:avLst/>
            </a:prstGeom>
            <a:solidFill>
              <a:schemeClr val="accent1"/>
            </a:solidFill>
            <a:ln>
              <a:noFill/>
            </a:ln>
          </c:spPr>
          <c:invertIfNegative val="0"/>
          <c:dLbls>
            <c:dLblPos val="outEnd"/>
            <c:separator xml:space="preserve"> </c:separator>
            <c:showBubbleSize val="0"/>
            <c:showCatName val="0"/>
            <c:showLeaderLines val="0"/>
            <c:showLegendKey val="0"/>
            <c:showPercent val="0"/>
            <c:showSerName val="0"/>
            <c:showVal val="1"/>
            <c:spPr bwMode="auto">
              <a:prstGeom prst="rect">
                <a:avLst/>
              </a:prstGeom>
              <a:noFill/>
              <a:ln>
                <a:noFill/>
              </a:ln>
            </c:spPr>
            <c:txPr>
              <a:bodyPr/>
              <a:p>
                <a:pPr>
                  <a:defRPr sz="90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/>
              </a:p>
            </c:txPr>
          </c:dLbls>
          <c:cat>
            <c:strRef>
              <c:f>Лист1!$C$12:$E$12</c:f>
              <c:strCache>
                <c:ptCount val="3"/>
                <c:pt idx="0">
                  <c:v xml:space="preserve">1 квартал 2026</c:v>
                </c:pt>
                <c:pt idx="1">
                  <c:v xml:space="preserve">2 квартал 2026</c:v>
                </c:pt>
                <c:pt idx="2">
                  <c:v xml:space="preserve">3 квартал 2026</c:v>
                </c:pt>
              </c:strCache>
            </c:strRef>
          </c:cat>
          <c:val>
            <c:numRef>
              <c:f>Лист1!$C$13:$E$13</c:f>
              <c:numCache>
                <c:formatCode>#,##0</c:formatCode>
                <c:ptCount val="3"/>
                <c:pt idx="0">
                  <c:v>4448</c:v>
                </c:pt>
                <c:pt idx="1">
                  <c:v>4332</c:v>
                </c:pt>
                <c:pt idx="2">
                  <c:v>4161</c:v>
                </c:pt>
              </c:numCache>
            </c:numRef>
          </c:val>
        </c:ser>
        <c:ser>
          <c:idx val="1"/>
          <c:order val="1"/>
          <c:tx>
            <c:strRef>
              <c:f>Лист1!$B$14</c:f>
              <c:strCache>
                <c:ptCount val="1"/>
                <c:pt idx="0">
                  <c:v>Письменные</c:v>
                </c:pt>
              </c:strCache>
            </c:strRef>
          </c:tx>
          <c:spPr bwMode="auto">
            <a:prstGeom prst="rect">
              <a:avLst/>
            </a:prstGeom>
            <a:solidFill>
              <a:schemeClr val="accent2"/>
            </a:solidFill>
            <a:ln>
              <a:noFill/>
            </a:ln>
          </c:spPr>
          <c:invertIfNegative val="0"/>
          <c:dLbls>
            <c:dLblPos val="outEnd"/>
            <c:separator xml:space="preserve"> </c:separator>
            <c:showBubbleSize val="0"/>
            <c:showCatName val="0"/>
            <c:showLeaderLines val="0"/>
            <c:showLegendKey val="0"/>
            <c:showPercent val="0"/>
            <c:showSerName val="0"/>
            <c:showVal val="1"/>
            <c:spPr bwMode="auto">
              <a:prstGeom prst="rect">
                <a:avLst/>
              </a:prstGeom>
              <a:noFill/>
              <a:ln>
                <a:noFill/>
              </a:ln>
            </c:spPr>
            <c:txPr>
              <a:bodyPr/>
              <a:p>
                <a:pPr>
                  <a:defRPr sz="90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/>
              </a:p>
            </c:txPr>
          </c:dLbls>
          <c:cat>
            <c:strRef>
              <c:f>Лист1!$C$12:$E$12</c:f>
              <c:strCache>
                <c:ptCount val="3"/>
                <c:pt idx="0">
                  <c:v xml:space="preserve">1 квартал 2026</c:v>
                </c:pt>
                <c:pt idx="1">
                  <c:v xml:space="preserve">2 квартал 2026</c:v>
                </c:pt>
                <c:pt idx="2">
                  <c:v xml:space="preserve">3 квартал 2026</c:v>
                </c:pt>
              </c:strCache>
            </c:strRef>
          </c:cat>
          <c:val>
            <c:numRef>
              <c:f>Лист1!$C$14:$E$14</c:f>
              <c:numCache>
                <c:formatCode>#,##0</c:formatCode>
                <c:ptCount val="3"/>
                <c:pt idx="0">
                  <c:v>2889</c:v>
                </c:pt>
                <c:pt idx="1">
                  <c:v>2977</c:v>
                </c:pt>
                <c:pt idx="2">
                  <c:v>2481</c:v>
                </c:pt>
              </c:numCache>
            </c:numRef>
          </c:val>
        </c:ser>
        <c:ser>
          <c:idx val="2"/>
          <c:order val="2"/>
          <c:tx>
            <c:strRef>
              <c:f>Лист1!$B$15</c:f>
              <c:strCache>
                <c:ptCount val="1"/>
                <c:pt idx="0">
                  <c:v xml:space="preserve">ЕПГУ ПОС</c:v>
                </c:pt>
              </c:strCache>
            </c:strRef>
          </c:tx>
          <c:spPr bwMode="auto">
            <a:prstGeom prst="rect">
              <a:avLst/>
            </a:prstGeom>
            <a:solidFill>
              <a:schemeClr val="accent3"/>
            </a:solidFill>
            <a:ln>
              <a:noFill/>
            </a:ln>
          </c:spPr>
          <c:invertIfNegative val="0"/>
          <c:dLbls>
            <c:dLblPos val="outEnd"/>
            <c:separator xml:space="preserve"> </c:separator>
            <c:showBubbleSize val="0"/>
            <c:showCatName val="0"/>
            <c:showLeaderLines val="0"/>
            <c:showLegendKey val="0"/>
            <c:showPercent val="0"/>
            <c:showSerName val="0"/>
            <c:showVal val="1"/>
            <c:spPr bwMode="auto">
              <a:prstGeom prst="rect">
                <a:avLst/>
              </a:prstGeom>
              <a:noFill/>
              <a:ln>
                <a:noFill/>
              </a:ln>
            </c:spPr>
            <c:txPr>
              <a:bodyPr/>
              <a:p>
                <a:pPr>
                  <a:defRPr sz="90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/>
              </a:p>
            </c:txPr>
          </c:dLbls>
          <c:cat>
            <c:strRef>
              <c:f>Лист1!$C$12:$E$12</c:f>
              <c:strCache>
                <c:ptCount val="3"/>
                <c:pt idx="0">
                  <c:v xml:space="preserve">1 квартал 2026</c:v>
                </c:pt>
                <c:pt idx="1">
                  <c:v xml:space="preserve">2 квартал 2026</c:v>
                </c:pt>
                <c:pt idx="2">
                  <c:v xml:space="preserve">3 квартал 2026</c:v>
                </c:pt>
              </c:strCache>
            </c:strRef>
          </c:cat>
          <c:val>
            <c:numRef>
              <c:f>Лист1!$C$15:$E$15</c:f>
              <c:numCache>
                <c:formatCode>#,##0</c:formatCode>
                <c:ptCount val="3"/>
                <c:pt idx="0">
                  <c:v>10498</c:v>
                </c:pt>
                <c:pt idx="1">
                  <c:v>8962</c:v>
                </c:pt>
                <c:pt idx="2">
                  <c:v>9282</c:v>
                </c:pt>
              </c:numCache>
            </c:numRef>
          </c:val>
        </c:ser>
        <c:dLbls>
          <c:dLblPos val="outEnd"/>
          <c:separator xml:space="preserve"> </c:separator>
          <c:showBubbleSize val="0"/>
          <c:showCatName val="0"/>
          <c:showLeaderLines val="0"/>
          <c:showLegendKey val="0"/>
          <c:showPercent val="0"/>
          <c:showSerName val="0"/>
          <c:showVal val="1"/>
          <c:spPr bwMode="auto">
            <a:prstGeom prst="rect">
              <a:avLst/>
            </a:prstGeom>
            <a:noFill/>
            <a:ln>
              <a:noFill/>
            </a:ln>
          </c:spPr>
          <c:txPr>
            <a:bodyPr/>
            <a:p>
              <a:pPr>
                <a:defRPr sz="90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/>
            </a:p>
          </c:txPr>
        </c:dLbls>
        <c:gapWidth val="219"/>
        <c:overlap val="-26"/>
        <c:axId val="1866169537"/>
        <c:axId val="1866169538"/>
      </c:barChart>
      <c:catAx>
        <c:axId val="186616953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 bwMode="auto">
          <a:prstGeom prst="rect">
            <a:avLst/>
          </a:prstGeom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</c:spPr>
        <c:txPr>
          <a:bodyPr/>
          <a:p>
            <a:pPr>
              <a:defRPr sz="900">
                <a:solidFill>
                  <a:schemeClr val="tx1">
                    <a:lumMod val="65000"/>
                    <a:lumOff val="35000"/>
                  </a:schemeClr>
                </a:solidFill>
                <a:latin typeface="Liberation Sans"/>
                <a:ea typeface="Liberation Sans"/>
                <a:cs typeface="Liberation Sans"/>
              </a:defRPr>
            </a:pPr>
            <a:endParaRPr/>
          </a:p>
        </c:txPr>
        <c:crossAx val="1866169538"/>
        <c:crosses val="autoZero"/>
        <c:auto val="1"/>
        <c:lblAlgn val="ctr"/>
        <c:lblOffset val="100"/>
        <c:tickMarkSkip val="1"/>
        <c:noMultiLvlLbl val="0"/>
      </c:catAx>
      <c:valAx>
        <c:axId val="1866169538"/>
        <c:scaling>
          <c:orientation val="minMax"/>
        </c:scaling>
        <c:delete val="1"/>
        <c:axPos val="l"/>
        <c:majorGridlines>
          <c:spPr bwMode="auto">
            <a:prstGeom prst="rect">
              <a:avLst/>
            </a:prstGeom>
            <a:noFill/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</c:spPr>
        </c:majorGridlines>
        <c:numFmt formatCode="#,##0" sourceLinked="1"/>
        <c:majorTickMark val="none"/>
        <c:minorTickMark val="none"/>
        <c:tickLblPos val="nextTo"/>
        <c:spPr bwMode="auto">
          <a:prstGeom prst="rect">
            <a:avLst/>
          </a:prstGeom>
          <a:noFill/>
          <a:ln>
            <a:noFill/>
          </a:ln>
        </c:spPr>
        <c:txPr>
          <a:bodyPr/>
          <a:p>
            <a:pPr>
              <a:defRPr sz="90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/>
          </a:p>
        </c:txPr>
        <c:crossAx val="1866169537"/>
        <c:crosses val="autoZero"/>
        <c:crossBetween val="between"/>
      </c:valAx>
      <c:spPr bwMode="auto">
        <a:prstGeom prst="rect">
          <a:avLst/>
        </a:prstGeom>
        <a:noFill/>
        <a:ln>
          <a:noFill/>
        </a:ln>
      </c:spPr>
    </c:plotArea>
    <c:legend>
      <c:legendPos val="b"/>
      <c:layout/>
      <c:overlay val="0"/>
      <c:spPr bwMode="auto">
        <a:prstGeom prst="rect">
          <a:avLst/>
        </a:prstGeom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 bwMode="auto">
    <a:xfrm>
      <a:off x="0" y="0"/>
      <a:ext cx="4552948" cy="2724148"/>
    </a:xfrm>
    <a:prstGeom prst="rect">
      <a:avLst/>
    </a:prstGeom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</c:spPr>
  <c:txPr>
    <a:bodyPr/>
    <a:p>
      <a:pPr>
        <a:defRPr sz="1000">
          <a:solidFill>
            <a:schemeClr val="tx1"/>
          </a:solidFill>
          <a:latin typeface="+mn-lt"/>
          <a:ea typeface="+mn-ea"/>
          <a:cs typeface="+mn-cs"/>
        </a:defRPr>
      </a:pPr>
      <a:endParaRPr/>
    </a:p>
  </c:txPr>
  <c:externalData r:id="rId3">
    <c:autoUpdate val="0"/>
  </c:externalData>
  <c:printSettings>
    <c:headerFooter/>
    <c:pageMargins l="0.69999999999999996" r="0.69999999999999996" t="0.75" b="0.75" header="0.29999999999999999" footer="0.29999999999999999"/>
    <c:pageSetup/>
  </c:printSettings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en-US"/>
  <c:roundedCorners val="0"/>
  <mc:AlternateContent>
    <mc:Choice Requires="c14">
      <c14:style val="102"/>
    </mc:Choice>
    <mc:Fallback>
      <c:style val="2"/>
    </mc:Fallback>
  </mc:AlternateContent>
  <c:chart>
    <c:autoTitleDeleted val="0"/>
    <c:plotArea>
      <c:layout>
        <c:manualLayout/>
      </c:layout>
      <c:lineChart>
        <c:grouping val="standard"/>
        <c:varyColors val="0"/>
        <c:ser>
          <c:idx val="0"/>
          <c:order val="0"/>
          <c:tx>
            <c:strRef>
              <c:f>Лист1!$A$3</c:f>
              <c:strCache>
                <c:ptCount val="1"/>
                <c:pt idx="0">
                  <c:v xml:space="preserve">1 квартал 2026</c:v>
                </c:pt>
              </c:strCache>
            </c:strRef>
          </c:tx>
          <c:spPr bwMode="auto">
            <a:prstGeom prst="rect">
              <a:avLst/>
            </a:prstGeom>
            <a:solidFill>
              <a:schemeClr val="accent1"/>
            </a:solidFill>
            <a:ln w="28575" cap="rnd">
              <a:solidFill>
                <a:schemeClr val="accent1"/>
              </a:solidFill>
              <a:round/>
            </a:ln>
          </c:spPr>
          <c:marker>
            <c:symbol val="none"/>
          </c:marker>
          <c:dLbls>
            <c:dLbl>
              <c:idx val="0"/>
              <c:dLblPos val="r"/>
              <c:layout>
                <c:manualLayout>
                  <c:x val="-0.061510"/>
                  <c:y val="0.009990"/>
                </c:manualLayout>
              </c:layout>
              <c:separator xml:space="preserve"> </c:separator>
              <c:showBubbleSize val="0"/>
              <c:showCatName val="0"/>
              <c:showLegendKey val="0"/>
              <c:showPercent val="0"/>
              <c:showSerName val="0"/>
              <c:showVal val="1"/>
              <c:spPr bwMode="auto">
                <a:prstGeom prst="rect">
                  <a:avLst/>
                </a:prstGeom>
                <a:noFill/>
                <a:ln>
                  <a:noFill/>
                </a:ln>
              </c:spPr>
              <c:txPr>
                <a:bodyPr/>
                <a:p>
                  <a:pPr>
                    <a:defRPr sz="90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/>
                </a:p>
              </c:txPr>
            </c:dLbl>
            <c:dLblPos val="r"/>
            <c:separator xml:space="preserve"> </c:separator>
            <c:showBubbleSize val="0"/>
            <c:showCatName val="0"/>
            <c:showLeaderLines val="0"/>
            <c:showLegendKey val="0"/>
            <c:showPercent val="0"/>
            <c:showSerName val="0"/>
            <c:showVal val="1"/>
            <c:spPr bwMode="auto">
              <a:prstGeom prst="rect">
                <a:avLst/>
              </a:prstGeom>
              <a:noFill/>
              <a:ln>
                <a:noFill/>
              </a:ln>
            </c:spPr>
            <c:txPr>
              <a:bodyPr/>
              <a:p>
                <a:pPr>
                  <a:defRPr sz="90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/>
              </a:p>
            </c:txPr>
          </c:dLbls>
          <c:cat>
            <c:strRef>
              <c:f>Лист1!$B$2:$D$2</c:f>
              <c:strCache>
                <c:ptCount val="3"/>
                <c:pt idx="0">
                  <c:v>Январь/апрель/июль</c:v>
                </c:pt>
                <c:pt idx="1">
                  <c:v>Февраль/май/август</c:v>
                </c:pt>
                <c:pt idx="2">
                  <c:v>Март/июнь/сентябрь</c:v>
                </c:pt>
              </c:strCache>
            </c:strRef>
          </c:cat>
          <c:val>
            <c:numRef>
              <c:f>Лист1!$B$3:$D$3</c:f>
              <c:numCache>
                <c:formatCode>General</c:formatCode>
                <c:ptCount val="3"/>
                <c:pt idx="0">
                  <c:v>3323</c:v>
                </c:pt>
                <c:pt idx="1">
                  <c:v>3577</c:v>
                </c:pt>
                <c:pt idx="2">
                  <c:v>2500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Лист1!$A$4</c:f>
              <c:strCache>
                <c:ptCount val="1"/>
                <c:pt idx="0">
                  <c:v xml:space="preserve">2 квартал 2026</c:v>
                </c:pt>
              </c:strCache>
            </c:strRef>
          </c:tx>
          <c:spPr bwMode="auto">
            <a:prstGeom prst="rect">
              <a:avLst/>
            </a:prstGeom>
            <a:solidFill>
              <a:schemeClr val="accent2"/>
            </a:solidFill>
            <a:ln w="28575" cap="rnd">
              <a:solidFill>
                <a:schemeClr val="accent2"/>
              </a:solidFill>
              <a:round/>
            </a:ln>
          </c:spPr>
          <c:marker>
            <c:symbol val="none"/>
          </c:marker>
          <c:dLbls>
            <c:dLbl>
              <c:idx val="0"/>
              <c:dLblPos val="r"/>
              <c:layout>
                <c:manualLayout>
                  <c:x val="-0.029960"/>
                  <c:y val="-0.040000"/>
                </c:manualLayout>
              </c:layout>
              <c:separator xml:space="preserve"> </c:separator>
              <c:showBubbleSize val="0"/>
              <c:showCatName val="0"/>
              <c:showLegendKey val="0"/>
              <c:showPercent val="0"/>
              <c:showSerName val="0"/>
              <c:showVal val="1"/>
              <c:spPr bwMode="auto">
                <a:prstGeom prst="rect">
                  <a:avLst/>
                </a:prstGeom>
                <a:noFill/>
                <a:ln>
                  <a:noFill/>
                </a:ln>
              </c:spPr>
              <c:txPr>
                <a:bodyPr/>
                <a:p>
                  <a:pPr>
                    <a:defRPr sz="90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/>
                </a:p>
              </c:txPr>
            </c:dLbl>
            <c:dLbl>
              <c:idx val="1"/>
              <c:dLblPos val="r"/>
              <c:layout>
                <c:manualLayout>
                  <c:x val="-0.028390"/>
                  <c:y val="0.040000"/>
                </c:manualLayout>
              </c:layout>
              <c:separator xml:space="preserve"> </c:separator>
              <c:showBubbleSize val="0"/>
              <c:showCatName val="0"/>
              <c:showLegendKey val="0"/>
              <c:showPercent val="0"/>
              <c:showSerName val="0"/>
              <c:showVal val="1"/>
              <c:spPr bwMode="auto">
                <a:prstGeom prst="rect">
                  <a:avLst/>
                </a:prstGeom>
                <a:noFill/>
                <a:ln>
                  <a:noFill/>
                </a:ln>
              </c:spPr>
              <c:txPr>
                <a:bodyPr/>
                <a:p>
                  <a:pPr>
                    <a:defRPr sz="90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/>
                </a:p>
              </c:txPr>
            </c:dLbl>
            <c:dLblPos val="r"/>
            <c:separator xml:space="preserve"> </c:separator>
            <c:showBubbleSize val="0"/>
            <c:showCatName val="0"/>
            <c:showLeaderLines val="0"/>
            <c:showLegendKey val="0"/>
            <c:showPercent val="0"/>
            <c:showSerName val="0"/>
            <c:showVal val="1"/>
            <c:spPr bwMode="auto">
              <a:prstGeom prst="rect">
                <a:avLst/>
              </a:prstGeom>
              <a:noFill/>
              <a:ln>
                <a:noFill/>
              </a:ln>
            </c:spPr>
            <c:txPr>
              <a:bodyPr/>
              <a:p>
                <a:pPr>
                  <a:defRPr sz="90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/>
              </a:p>
            </c:txPr>
          </c:dLbls>
          <c:cat>
            <c:strRef>
              <c:f>Лист1!$B$2:$D$2</c:f>
              <c:strCache>
                <c:ptCount val="3"/>
                <c:pt idx="0">
                  <c:v>Январь/апрель/июль</c:v>
                </c:pt>
                <c:pt idx="1">
                  <c:v>Февраль/май/август</c:v>
                </c:pt>
                <c:pt idx="2">
                  <c:v>Март/июнь/сентябрь</c:v>
                </c:pt>
              </c:strCache>
            </c:strRef>
          </c:cat>
          <c:val>
            <c:numRef>
              <c:f>Лист1!$B$4:$D$4</c:f>
              <c:numCache>
                <c:formatCode>General</c:formatCode>
                <c:ptCount val="3"/>
                <c:pt idx="0">
                  <c:v>3602</c:v>
                </c:pt>
                <c:pt idx="1">
                  <c:v>2654</c:v>
                </c:pt>
                <c:pt idx="2">
                  <c:v>2760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Лист1!$A$5</c:f>
              <c:strCache>
                <c:ptCount val="1"/>
                <c:pt idx="0">
                  <c:v xml:space="preserve">3 квартал 2026</c:v>
                </c:pt>
              </c:strCache>
            </c:strRef>
          </c:tx>
          <c:spPr bwMode="auto">
            <a:prstGeom prst="rect">
              <a:avLst/>
            </a:prstGeom>
            <a:solidFill>
              <a:schemeClr val="accent3"/>
            </a:solidFill>
            <a:ln w="28575" cap="rnd">
              <a:solidFill>
                <a:schemeClr val="accent3"/>
              </a:solidFill>
              <a:round/>
            </a:ln>
          </c:spPr>
          <c:marker>
            <c:symbol val="none"/>
          </c:marker>
          <c:dLbls>
            <c:dLbl>
              <c:idx val="0"/>
              <c:dLblPos val="r"/>
              <c:layout>
                <c:manualLayout>
                  <c:x val="-0.061510"/>
                  <c:y val="0.002500"/>
                </c:manualLayout>
              </c:layout>
              <c:separator xml:space="preserve"> </c:separator>
              <c:showBubbleSize val="0"/>
              <c:showCatName val="0"/>
              <c:showLegendKey val="0"/>
              <c:showPercent val="0"/>
              <c:showSerName val="0"/>
              <c:showVal val="1"/>
              <c:spPr bwMode="auto">
                <a:prstGeom prst="rect">
                  <a:avLst/>
                </a:prstGeom>
                <a:noFill/>
                <a:ln>
                  <a:noFill/>
                </a:ln>
              </c:spPr>
              <c:txPr>
                <a:bodyPr/>
                <a:p>
                  <a:pPr>
                    <a:defRPr sz="90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/>
                </a:p>
              </c:txPr>
            </c:dLbl>
            <c:dLbl>
              <c:idx val="1"/>
              <c:dLblPos val="r"/>
              <c:layout>
                <c:manualLayout>
                  <c:x val="-0.001570"/>
                  <c:y val="-0.019990"/>
                </c:manualLayout>
              </c:layout>
              <c:separator xml:space="preserve"> </c:separator>
              <c:showBubbleSize val="0"/>
              <c:showCatName val="0"/>
              <c:showLegendKey val="0"/>
              <c:showPercent val="0"/>
              <c:showSerName val="0"/>
              <c:showVal val="1"/>
              <c:spPr bwMode="auto">
                <a:prstGeom prst="rect">
                  <a:avLst/>
                </a:prstGeom>
                <a:noFill/>
                <a:ln>
                  <a:noFill/>
                </a:ln>
              </c:spPr>
              <c:txPr>
                <a:bodyPr/>
                <a:p>
                  <a:pPr>
                    <a:defRPr sz="90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/>
                </a:p>
              </c:txPr>
            </c:dLbl>
            <c:dLblPos val="r"/>
            <c:separator xml:space="preserve"> </c:separator>
            <c:showBubbleSize val="0"/>
            <c:showCatName val="0"/>
            <c:showLeaderLines val="0"/>
            <c:showLegendKey val="0"/>
            <c:showPercent val="0"/>
            <c:showSerName val="0"/>
            <c:showVal val="1"/>
            <c:spPr bwMode="auto">
              <a:prstGeom prst="rect">
                <a:avLst/>
              </a:prstGeom>
              <a:noFill/>
              <a:ln>
                <a:noFill/>
              </a:ln>
            </c:spPr>
            <c:txPr>
              <a:bodyPr/>
              <a:p>
                <a:pPr>
                  <a:defRPr sz="90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/>
              </a:p>
            </c:txPr>
          </c:dLbls>
          <c:cat>
            <c:strRef>
              <c:f>Лист1!$B$2:$D$2</c:f>
              <c:strCache>
                <c:ptCount val="3"/>
                <c:pt idx="0">
                  <c:v>Январь/апрель/июль</c:v>
                </c:pt>
                <c:pt idx="1">
                  <c:v>Февраль/май/август</c:v>
                </c:pt>
                <c:pt idx="2">
                  <c:v>Март/июнь/сентябрь</c:v>
                </c:pt>
              </c:strCache>
            </c:strRef>
          </c:cat>
          <c:val>
            <c:numRef>
              <c:f>Лист1!$B$5:$D$5</c:f>
              <c:numCache>
                <c:formatCode>General</c:formatCode>
                <c:ptCount val="3"/>
                <c:pt idx="0">
                  <c:v>3573</c:v>
                </c:pt>
                <c:pt idx="1">
                  <c:v>2720</c:v>
                </c:pt>
                <c:pt idx="2">
                  <c:v>4002</c:v>
                </c:pt>
              </c:numCache>
            </c:numRef>
          </c:val>
          <c:smooth val="0"/>
        </c:ser>
        <c:dLbls>
          <c:dLblPos val="r"/>
          <c:separator xml:space="preserve"> </c:separator>
          <c:showBubbleSize val="0"/>
          <c:showCatName val="0"/>
          <c:showLeaderLines val="0"/>
          <c:showLegendKey val="0"/>
          <c:showPercent val="0"/>
          <c:showSerName val="0"/>
          <c:showVal val="1"/>
          <c:spPr bwMode="auto">
            <a:prstGeom prst="rect">
              <a:avLst/>
            </a:prstGeom>
            <a:noFill/>
            <a:ln>
              <a:noFill/>
            </a:ln>
          </c:spPr>
          <c:txPr>
            <a:bodyPr/>
            <a:p>
              <a:pPr>
                <a:defRPr sz="90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/>
            </a:p>
          </c:txPr>
        </c:dLbls>
        <c:marker val="0"/>
        <c:smooth val="0"/>
        <c:axId val="511722011"/>
        <c:axId val="511722012"/>
      </c:lineChart>
      <c:catAx>
        <c:axId val="511722011"/>
        <c:scaling>
          <c:orientation val="minMax"/>
        </c:scaling>
        <c:delete val="0"/>
        <c:axPos val="b"/>
        <c:numFmt formatCode="General" sourceLinked="1"/>
        <c:majorTickMark val="none"/>
        <c:minorTickMark val="out"/>
        <c:tickLblPos val="nextTo"/>
        <c:spPr bwMode="auto">
          <a:prstGeom prst="rect">
            <a:avLst/>
          </a:prstGeom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</c:spPr>
        <c:txPr>
          <a:bodyPr/>
          <a:p>
            <a:pPr>
              <a:defRPr sz="900">
                <a:solidFill>
                  <a:schemeClr val="tx1">
                    <a:lumMod val="65000"/>
                    <a:lumOff val="35000"/>
                  </a:schemeClr>
                </a:solidFill>
                <a:latin typeface="Liberation Sans"/>
                <a:ea typeface="Liberation Sans"/>
                <a:cs typeface="Liberation Sans"/>
              </a:defRPr>
            </a:pPr>
            <a:endParaRPr/>
          </a:p>
        </c:txPr>
        <c:crossAx val="511722012"/>
        <c:crosses val="autoZero"/>
        <c:auto val="1"/>
        <c:lblAlgn val="ctr"/>
        <c:lblOffset val="100"/>
        <c:tickMarkSkip val="1"/>
        <c:noMultiLvlLbl val="0"/>
      </c:catAx>
      <c:valAx>
        <c:axId val="511722012"/>
        <c:scaling>
          <c:orientation val="minMax"/>
        </c:scaling>
        <c:delete val="1"/>
        <c:axPos val="l"/>
        <c:majorGridlines>
          <c:spPr bwMode="auto">
            <a:prstGeom prst="rect">
              <a:avLst/>
            </a:prstGeom>
            <a:noFill/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</c:spPr>
        </c:majorGridlines>
        <c:numFmt formatCode="General" sourceLinked="1"/>
        <c:majorTickMark val="none"/>
        <c:minorTickMark val="none"/>
        <c:tickLblPos val="nextTo"/>
        <c:spPr bwMode="auto">
          <a:prstGeom prst="rect">
            <a:avLst/>
          </a:prstGeom>
          <a:noFill/>
          <a:ln>
            <a:noFill/>
          </a:ln>
        </c:spPr>
        <c:txPr>
          <a:bodyPr/>
          <a:p>
            <a:pPr>
              <a:defRPr sz="900">
                <a:solidFill>
                  <a:schemeClr val="tx1">
                    <a:lumMod val="65000"/>
                    <a:lumOff val="35000"/>
                  </a:schemeClr>
                </a:solidFill>
                <a:latin typeface="Liberation Sans"/>
                <a:ea typeface="Liberation Sans"/>
                <a:cs typeface="Liberation Sans"/>
              </a:defRPr>
            </a:pPr>
            <a:endParaRPr/>
          </a:p>
        </c:txPr>
        <c:crossAx val="511722011"/>
        <c:crosses val="autoZero"/>
        <c:crossBetween val="between"/>
      </c:valAx>
      <c:spPr bwMode="auto">
        <a:prstGeom prst="rect">
          <a:avLst/>
        </a:prstGeom>
        <a:noFill/>
        <a:ln>
          <a:noFill/>
        </a:ln>
      </c:spPr>
    </c:plotArea>
    <c:legend>
      <c:legendPos val="b"/>
      <c:layout/>
      <c:overlay val="0"/>
      <c:spPr bwMode="auto">
        <a:prstGeom prst="rect">
          <a:avLst/>
        </a:prstGeom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 bwMode="auto">
    <a:xfrm>
      <a:off x="0" y="0"/>
      <a:ext cx="5403872" cy="3520026"/>
    </a:xfrm>
    <a:prstGeom prst="rect">
      <a:avLst/>
    </a:prstGeom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</c:spPr>
  <c:txPr>
    <a:bodyPr/>
    <a:p>
      <a:pPr>
        <a:defRPr sz="1000">
          <a:solidFill>
            <a:schemeClr val="tx1"/>
          </a:solidFill>
          <a:latin typeface="+mn-lt"/>
          <a:ea typeface="+mn-ea"/>
          <a:cs typeface="+mn-cs"/>
        </a:defRPr>
      </a:pPr>
      <a:endParaRPr/>
    </a:p>
  </c:txPr>
  <c:externalData r:id="rId3">
    <c:autoUpdate val="0"/>
  </c:externalData>
  <c:printSettings>
    <c:headerFooter/>
    <c:pageMargins l="0.69999999999999996" r="0.69999999999999996" t="0.75" b="0.75" header="0.29999999999999999" footer="0.29999999999999999"/>
    <c:pageSetup/>
  </c:printSettings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 bwMode="auto">
      <a:prstGeom prst="rect">
        <a:avLst/>
      </a:prstGeom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>
    <cs:lnRef idx="0"/>
    <cs:fillRef idx="0"/>
    <cs:effectRef idx="0"/>
    <cs:fontRef idx="minor">
      <a:schemeClr val="tx1"/>
    </cs:fontRef>
    <cs:spPr bwMode="auto">
      <a:prstGeom prst="rect">
        <a:avLst/>
      </a:prstGeom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/>
  </cs:dataLabel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 bwMode="auto">
      <a:prstGeom prst="rect">
        <a:avLst/>
      </a:prstGeom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 bwMode="auto">
      <a:prstGeom prst="rect">
        <a:avLst/>
      </a:prstGeom>
      <a:ln w="9525">
        <a:solidFill>
          <a:schemeClr val="phClr"/>
        </a:solidFill>
      </a:ln>
    </cs:spPr>
  </cs:dataPointMarker>
  <cs:dataPointWireframe>
    <cs:lnRef idx="0">
      <cs:styleClr val="auto"/>
    </cs:lnRef>
    <cs:fillRef idx="1"/>
    <cs:effectRef idx="0"/>
    <cs:fontRef idx="minor">
      <a:schemeClr val="tx1"/>
    </cs:fontRef>
    <cs:spPr bwMode="auto">
      <a:prstGeom prst="rect">
        <a:avLst/>
      </a:prstGeom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 bwMode="auto">
      <a:prstGeom prst="rect">
        <a:avLst/>
      </a:prstGeom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dataTable>
  <cs:downBar>
    <cs:lnRef idx="0"/>
    <cs:fillRef idx="0"/>
    <cs:effectRef idx="0"/>
    <cs:fontRef idx="minor">
      <a:schemeClr val="dk1"/>
    </cs:fontRef>
    <cs:spPr bwMode="auto">
      <a:prstGeom prst="rect">
        <a:avLst/>
      </a:prstGeom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 bwMode="auto">
      <a:prstGeom prst="rect">
        <a:avLst/>
      </a:prstGeom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/>
  </cs:seriesAxis>
  <cs:series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spc="0"/>
  </cs:title>
  <cs:trendline>
    <cs:lnRef idx="0">
      <cs:styleClr val="auto"/>
    </cs:lnRef>
    <cs:fillRef idx="0"/>
    <cs:effectRef idx="0"/>
    <cs:fontRef idx="minor">
      <a:schemeClr val="tx1"/>
    </cs:fontRef>
    <cs:spPr bwMode="auto">
      <a:prstGeom prst="rect">
        <a:avLst/>
      </a:prstGeom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 bwMode="auto">
      <a:prstGeom prst="rect">
        <a:avLst/>
      </a:prstGeom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  <cs:spPr bwMode="auto">
      <a:prstGeom prst="rect">
        <a:avLst/>
      </a:prstGeom>
      <a:noFill/>
      <a:ln>
        <a:noFill/>
      </a:ln>
    </cs:spPr>
  </cs:wall>
  <cs:dataPointMarkerLayout symbol="circle" size="5"/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 bwMode="auto">
      <a:prstGeom prst="rect">
        <a:avLst/>
      </a:prstGeom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>
    <cs:lnRef idx="0"/>
    <cs:fillRef idx="0"/>
    <cs:effectRef idx="0"/>
    <cs:fontRef idx="minor">
      <a:schemeClr val="tx1"/>
    </cs:fontRef>
    <cs:spPr bwMode="auto">
      <a:prstGeom prst="rect">
        <a:avLst/>
      </a:prstGeom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/>
  </cs:dataLabel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 bwMode="auto">
      <a:prstGeom prst="rect">
        <a:avLst/>
      </a:prstGeom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 bwMode="auto">
      <a:prstGeom prst="rect">
        <a:avLst/>
      </a:prstGeom>
      <a:ln w="9525">
        <a:solidFill>
          <a:schemeClr val="phClr"/>
        </a:solidFill>
      </a:ln>
    </cs:spPr>
  </cs:dataPointMarker>
  <cs:dataPointWireframe>
    <cs:lnRef idx="0">
      <cs:styleClr val="auto"/>
    </cs:lnRef>
    <cs:fillRef idx="1"/>
    <cs:effectRef idx="0"/>
    <cs:fontRef idx="minor">
      <a:schemeClr val="tx1"/>
    </cs:fontRef>
    <cs:spPr bwMode="auto">
      <a:prstGeom prst="rect">
        <a:avLst/>
      </a:prstGeom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 bwMode="auto">
      <a:prstGeom prst="rect">
        <a:avLst/>
      </a:prstGeom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dataTable>
  <cs:downBar>
    <cs:lnRef idx="0"/>
    <cs:fillRef idx="0"/>
    <cs:effectRef idx="0"/>
    <cs:fontRef idx="minor">
      <a:schemeClr val="dk1"/>
    </cs:fontRef>
    <cs:spPr bwMode="auto">
      <a:prstGeom prst="rect">
        <a:avLst/>
      </a:prstGeom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 bwMode="auto">
      <a:prstGeom prst="rect">
        <a:avLst/>
      </a:prstGeom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/>
  </cs:seriesAxis>
  <cs:series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spc="0"/>
  </cs:title>
  <cs:trendline>
    <cs:lnRef idx="0">
      <cs:styleClr val="auto"/>
    </cs:lnRef>
    <cs:fillRef idx="0"/>
    <cs:effectRef idx="0"/>
    <cs:fontRef idx="minor">
      <a:schemeClr val="tx1"/>
    </cs:fontRef>
    <cs:spPr bwMode="auto">
      <a:prstGeom prst="rect">
        <a:avLst/>
      </a:prstGeom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 bwMode="auto">
      <a:prstGeom prst="rect">
        <a:avLst/>
      </a:prstGeom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  <cs:spPr bwMode="auto">
      <a:prstGeom prst="rect">
        <a:avLst/>
      </a:prstGeom>
      <a:noFill/>
      <a:ln>
        <a:noFill/>
      </a:ln>
    </cs:spPr>
  </cs:wall>
  <cs:dataPointMarkerLayout symbol="circle" size="5"/>
</cs:chartStyle>
</file>

<file path=word/charts/style3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 bwMode="auto">
      <a:prstGeom prst="rect">
        <a:avLst/>
      </a:prstGeom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>
    <cs:lnRef idx="0"/>
    <cs:fillRef idx="0"/>
    <cs:effectRef idx="0"/>
    <cs:fontRef idx="minor">
      <a:schemeClr val="tx1"/>
    </cs:fontRef>
    <cs:spPr bwMode="auto">
      <a:prstGeom prst="rect">
        <a:avLst/>
      </a:prstGeom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/>
  </cs:dataLabel>
  <cs:dataPoint>
    <cs:lnRef idx="0"/>
    <cs:fillRef idx="1">
      <cs:styleClr val="auto"/>
    </cs:fillRef>
    <cs:effectRef idx="0"/>
    <cs:fontRef idx="minor">
      <a:schemeClr val="tx1"/>
    </cs:fontRef>
    <cs:spPr bwMode="auto">
      <a:prstGeom prst="rect">
        <a:avLst/>
      </a:prstGeom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 bwMode="auto">
      <a:prstGeom prst="rect">
        <a:avLst/>
      </a:prstGeom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 bwMode="auto">
      <a:prstGeom prst="rect">
        <a:avLst/>
      </a:prstGeom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 bwMode="auto">
      <a:prstGeom prst="rect">
        <a:avLst/>
      </a:prstGeom>
      <a:solidFill>
        <a:schemeClr val="phClr"/>
      </a:solidFill>
      <a:ln w="9525">
        <a:solidFill>
          <a:schemeClr val="phClr"/>
        </a:solidFill>
      </a:ln>
    </cs:spPr>
  </cs:dataPointMarker>
  <cs:dataPointWireframe>
    <cs:lnRef idx="0">
      <cs:styleClr val="auto"/>
    </cs:lnRef>
    <cs:fillRef idx="1"/>
    <cs:effectRef idx="0"/>
    <cs:fontRef idx="minor">
      <a:schemeClr val="tx1"/>
    </cs:fontRef>
    <cs:spPr bwMode="auto">
      <a:prstGeom prst="rect">
        <a:avLst/>
      </a:prstGeom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 bwMode="auto">
      <a:prstGeom prst="rect">
        <a:avLst/>
      </a:prstGeom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dataTable>
  <cs:downBar>
    <cs:lnRef idx="0"/>
    <cs:fillRef idx="0"/>
    <cs:effectRef idx="0"/>
    <cs:fontRef idx="minor">
      <a:schemeClr val="dk1"/>
    </cs:fontRef>
    <cs:spPr bwMode="auto">
      <a:prstGeom prst="rect">
        <a:avLst/>
      </a:prstGeom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 bwMode="auto">
      <a:prstGeom prst="rect">
        <a:avLst/>
      </a:prstGeom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/>
  </cs:seriesAxis>
  <cs:series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spc="0"/>
  </cs:title>
  <cs:trendline>
    <cs:lnRef idx="0">
      <cs:styleClr val="auto"/>
    </cs:lnRef>
    <cs:fillRef idx="0"/>
    <cs:effectRef idx="0"/>
    <cs:fontRef idx="minor">
      <a:schemeClr val="tx1"/>
    </cs:fontRef>
    <cs:spPr bwMode="auto">
      <a:prstGeom prst="rect">
        <a:avLst/>
      </a:prstGeom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 bwMode="auto">
      <a:prstGeom prst="rect">
        <a:avLst/>
      </a:prstGeom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  <cs:spPr bwMode="auto">
      <a:prstGeom prst="rect">
        <a:avLst/>
      </a:prstGeom>
      <a:noFill/>
      <a:ln>
        <a:noFill/>
      </a:ln>
    </cs:spPr>
  </cs:wall>
  <cs:dataPointMarkerLayout symbol="circle" size="5"/>
</cs:chartStyle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160ED7-FCE5-4970-A430-2B15E1331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>ICS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alkrivoshchiekova@pk.gov</cp:lastModifiedBy>
  <cp:revision>4</cp:revision>
  <dcterms:created xsi:type="dcterms:W3CDTF">2025-12-10T06:53:00Z</dcterms:created>
  <dcterms:modified xsi:type="dcterms:W3CDTF">2026-10-02T11:13:59Z</dcterms:modified>
</cp:coreProperties>
</file>