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style2.xml" ContentType="application/vnd.ms-office.chartstyle+xml"/>
  <Override PartName="/word/charts/chart2.xml" ContentType="application/vnd.openxmlformats-officedocument.drawingml.chart+xml"/>
  <Override PartName="/word/charts/colors2.xml" ContentType="application/vnd.ms-office.chartcolorstyle+xml"/>
  <Override PartName="/word/charts/style1.xml" ContentType="application/vnd.ms-office.chartstyle+xml"/>
  <Override PartName="/word/charts/colors1.xml" ContentType="application/vnd.ms-office.chartcolorsty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3.xml" ContentType="application/vnd.openxmlformats-officedocument.drawingml.chart+xml"/>
  <Override PartName="/word/charts/chart1.xml" ContentType="application/vnd.openxmlformats-officedocument.drawingml.chart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 обращений граждан,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поступивших в МЗ ПК за 2 квартал 2026 года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 квартал 2026 года поступило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16 271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обращение, что 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9 %</w:t>
      </w:r>
      <w:r>
        <w:rPr>
          <w:rFonts w:ascii="Times New Roman" w:hAnsi="Times New Roman" w:cs="Times New Roman"/>
          <w:sz w:val="28"/>
          <w:szCs w:val="28"/>
        </w:rPr>
        <w:t xml:space="preserve"> меньше</w:t>
      </w:r>
      <w:r>
        <w:rPr>
          <w:rFonts w:ascii="Times New Roman" w:hAnsi="Times New Roman" w:cs="Times New Roman"/>
          <w:sz w:val="28"/>
          <w:szCs w:val="28"/>
        </w:rPr>
        <w:t xml:space="preserve"> количества поступивших обращений за 1 квартал 2026 года.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drawing>
          <wp:inline distT="0" distB="0" distL="0" distR="0">
            <wp:extent cx="4552949" cy="2724149"/>
            <wp:effectExtent l="4762" t="4762" r="4762" b="4762"/>
            <wp:docPr id="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907"/>
        <w:tblW w:w="106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54"/>
        <w:gridCol w:w="2268"/>
        <w:gridCol w:w="2409"/>
      </w:tblGrid>
      <w:tr>
        <w:tblPrEx/>
        <w:trPr>
          <w:cantSplit/>
          <w:trHeight w:val="493"/>
        </w:trPr>
        <w:tc>
          <w:tcPr>
            <w:tcW w:w="595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Обращения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квартал 2026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квартал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обращений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17 835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highlight w:val="none"/>
              </w:rPr>
              <w:t xml:space="preserve">16 271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559"/>
        </w:trPr>
        <w:tc>
          <w:tcPr>
            <w:tcW w:w="595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Устных обращений на телефон горячей линии МЗ ПК 122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4 448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4 332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Письменных обращений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2 889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highlight w:val="none"/>
              </w:rPr>
              <w:t xml:space="preserve">2 977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ЕПГУ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10 498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8 962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вопросам здравоохранения жители региона используют следующие каналы/источники поступления обращений: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межведомственная система электронного документооборота,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федеральный портал «Единый портал государственных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услуг»,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региональный портал «Управляем вместе»,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система обратной связи в социальных сетях сегмента Пермского края,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единая р</w:t>
      </w:r>
      <w:r>
        <w:rPr>
          <w:rFonts w:ascii="Times New Roman" w:hAnsi="Times New Roman" w:cs="Times New Roman"/>
          <w:sz w:val="28"/>
          <w:szCs w:val="28"/>
        </w:rPr>
        <w:t xml:space="preserve">егиональная информационно-справочная служба Пермского края по номеру телефона 122,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numPr>
          <w:ilvl w:val="0"/>
          <w:numId w:val="38"/>
        </w:numPr>
        <w:jc w:val="both"/>
        <w:spacing w:line="240" w:lineRule="exact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народный контроль, комфортная медицина (совместный проект с ОНФ).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отрабатываются сообщения с официальных страниц (</w:t>
      </w:r>
      <w:r>
        <w:rPr>
          <w:rFonts w:ascii="Times New Roman" w:hAnsi="Times New Roman" w:cs="Times New Roman"/>
          <w:sz w:val="28"/>
          <w:szCs w:val="28"/>
        </w:rPr>
        <w:t xml:space="preserve">госпабликов</w:t>
      </w:r>
      <w:r>
        <w:rPr>
          <w:rFonts w:ascii="Times New Roman" w:hAnsi="Times New Roman" w:cs="Times New Roman"/>
          <w:sz w:val="28"/>
          <w:szCs w:val="28"/>
        </w:rPr>
        <w:t xml:space="preserve">) медучреждений.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</w:r>
      <w:r>
        <w:drawing>
          <wp:inline distT="0" distB="0" distL="0" distR="0">
            <wp:extent cx="4552949" cy="2724149"/>
            <wp:effectExtent l="4762" t="4762" r="4762" b="4762"/>
            <wp:docPr id="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общего </w:t>
      </w:r>
      <w:r>
        <w:rPr>
          <w:rFonts w:ascii="Times New Roman" w:hAnsi="Times New Roman" w:cs="Times New Roman"/>
          <w:sz w:val="28"/>
          <w:szCs w:val="28"/>
        </w:rPr>
        <w:t xml:space="preserve">количества обращений произошло за счет обращений, поступающих на платформу обратной связи Единого портала государственных услуг (</w:t>
      </w:r>
      <w:r>
        <w:rPr>
          <w:rFonts w:ascii="Times New Roman" w:hAnsi="Times New Roman" w:cs="Times New Roman"/>
          <w:sz w:val="28"/>
          <w:szCs w:val="28"/>
        </w:rPr>
        <w:t xml:space="preserve">ПОС</w:t>
      </w:r>
      <w:r>
        <w:rPr>
          <w:rFonts w:ascii="Times New Roman" w:hAnsi="Times New Roman" w:cs="Times New Roman"/>
          <w:sz w:val="28"/>
          <w:szCs w:val="28"/>
        </w:rPr>
        <w:t xml:space="preserve"> ЕПГУ).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Динамика поступления сообщений по месяцам 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ЕПГУ: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drawing>
          <wp:inline distT="0" distB="0" distL="0" distR="0">
            <wp:extent cx="5029200" cy="3305175"/>
            <wp:effectExtent l="4762" t="4762" r="4762" b="4762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темы, которые заявители затрагивают в своих сообщ</w:t>
      </w:r>
      <w:r>
        <w:rPr>
          <w:rFonts w:ascii="Times New Roman" w:hAnsi="Times New Roman" w:cs="Times New Roman"/>
          <w:sz w:val="28"/>
          <w:szCs w:val="28"/>
        </w:rPr>
        <w:t xml:space="preserve">ениях, направленных в ЕПГУ: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получение электронных медицинских документов  -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32,7 %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обращений за отчетный период, </w:t>
      </w:r>
      <w:r>
        <w:rPr>
          <w:rFonts w:ascii="Times New Roman" w:hAnsi="Times New Roman" w:cs="Times New Roman"/>
          <w:sz w:val="28"/>
          <w:szCs w:val="28"/>
        </w:rPr>
        <w:t xml:space="preserve">проблемы с выбором временного слота для записи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20,3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проблемы с выбором медицинского специалиста</w:t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18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, проблемы с </w:t>
      </w:r>
      <w:r>
        <w:rPr>
          <w:rFonts w:ascii="Times New Roman" w:hAnsi="Times New Roman" w:cs="Times New Roman"/>
          <w:sz w:val="28"/>
          <w:szCs w:val="28"/>
        </w:rPr>
        <w:t xml:space="preserve">больничным листом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проблемы справочных служб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3,7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, проблем</w:t>
      </w:r>
      <w:r>
        <w:rPr>
          <w:rFonts w:ascii="Times New Roman" w:hAnsi="Times New Roman" w:cs="Times New Roman"/>
          <w:sz w:val="28"/>
          <w:szCs w:val="28"/>
        </w:rPr>
        <w:t xml:space="preserve">ы с посещением врача по записи </w:t>
      </w:r>
      <w:r>
        <w:rPr>
          <w:rFonts w:ascii="Times New Roman" w:hAnsi="Times New Roman" w:cs="Times New Roman"/>
          <w:sz w:val="28"/>
          <w:szCs w:val="28"/>
        </w:rPr>
        <w:t xml:space="preserve">на прием к врачу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2,8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иные проблемы – </w:t>
      </w:r>
      <w:r>
        <w:rPr>
          <w:rFonts w:ascii="Times New Roman" w:hAnsi="Times New Roman" w:cs="Times New Roman"/>
          <w:b/>
          <w:sz w:val="28"/>
          <w:szCs w:val="28"/>
        </w:rPr>
        <w:t xml:space="preserve">2,6</w:t>
      </w:r>
      <w:r>
        <w:rPr>
          <w:rFonts w:ascii="Times New Roman" w:hAnsi="Times New Roman" w:cs="Times New Roman"/>
          <w:b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запись на прием к врачу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1,9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проблемы с прикреплением к медицинской организации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1,6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проблемы с выбором региона при записи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1,6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обращения граждан отрабатываются сотрудниками министерства, контролируется удовлетворенность заявителей качеством рассмотренных сообщений. За 2 квартал 2026 осуществлено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2 437</w:t>
      </w:r>
      <w:r>
        <w:rPr>
          <w:rFonts w:ascii="Times New Roman" w:hAnsi="Times New Roman" w:cs="Times New Roman"/>
          <w:sz w:val="28"/>
          <w:szCs w:val="28"/>
        </w:rPr>
        <w:t xml:space="preserve"> звонков обратной связи.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систематизации письменных обращений по уровням направления показал, что наибольшее количество обращений поступило: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Министерства здравоохранения Пермского края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Президента РФ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МЗ РФ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ФОМС и СМО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РПН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РЗН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Прокуратуру Пермского края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Уполномоченному по правам человека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Согласно анализу поступивших обращений в системе электронного документооборота, тематика обращений за 1 квартал 2026 года распределена следую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щим образом: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Style w:val="907"/>
        <w:tblW w:w="0" w:type="auto"/>
        <w:tblLayout w:type="fixed"/>
        <w:tblLook w:val="04A0" w:firstRow="1" w:lastRow="0" w:firstColumn="1" w:lastColumn="0" w:noHBand="0" w:noVBand="1"/>
      </w:tblPr>
      <w:tblGrid>
        <w:gridCol w:w="9074"/>
        <w:gridCol w:w="1276"/>
      </w:tblGrid>
      <w:tr>
        <w:tblPrEx/>
        <w:trPr>
          <w:trHeight w:val="300"/>
        </w:trPr>
        <w:tc>
          <w:tcPr>
            <w:shd w:val="clear" w:color="daeef3" w:fill="daeef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Тематики</w:t>
            </w:r>
            <w:r/>
          </w:p>
        </w:tc>
        <w:tc>
          <w:tcPr>
            <w:shd w:val="clear" w:color="daeef3" w:fill="daeef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Всего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Лечение и оказание медицинской помощи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2910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Работа медицинских учреждений и их сотрудников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34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Лекарственное обеспечение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16</w:t>
            </w:r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Врачебно-консультационная комиссия. О медицинском обслуживании, диагностике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9</w:t>
            </w:r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Обеспечение потребности в медицинской помощи и объемов ее получения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6</w:t>
            </w:r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Организация оказания медицинской помощи взрослым в амбулаторно-поликлинических условиях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6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Заработная плата медицинских работников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Квоты на оказание высокотехнологической меди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цинской помощи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Медицинское обслуживание сельских жителей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Ремонт медицинских учреждений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</w:t>
            </w:r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Качество оказания медицинской помощи детям в стационарных условиях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</w:t>
            </w:r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Качество оказания медицинской помощи взрослым в стационарных условиях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Медицинская экспертиза и медицинское освидетельствование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</w:t>
            </w:r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Внедрение и использование современных медицинских технологий, в том числе инновационных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</w:t>
            </w:r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Помещение в больницы и специализированные лечебные учреждения. Оплата за лечение, пребывание в лечеб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ных учреждениях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Отношение к больным и их родственникам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</w:t>
            </w:r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Медицинское образование. Работа профессиональных образовательных организаций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</w:t>
            </w:r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Качество оказания медицинской помощи детям в амбулаторно-поликлинических условиях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</w:t>
            </w:r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Качество оказания медицинской помощи взрослым в амбулаторно-поликлинических условиях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Работа аптек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Государственный контроль и надзор в сфере здравоохранения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</w:t>
            </w:r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Создание, ликвидация и реорганизация медицинских учреждений и организаций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Санитарно-эпидемиологическое благополучие населения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Курортное дело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</w:t>
            </w:r>
            <w:r/>
          </w:p>
        </w:tc>
      </w:tr>
      <w:tr>
        <w:tblPrEx/>
        <w:trPr>
          <w:trHeight w:val="300"/>
        </w:trPr>
        <w:tc>
          <w:tcPr>
            <w:shd w:val="clear" w:color="daeef3" w:fill="daeef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4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Итого</w:t>
            </w:r>
            <w:r/>
          </w:p>
        </w:tc>
        <w:tc>
          <w:tcPr>
            <w:shd w:val="clear" w:color="daeef3" w:fill="daeef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3011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Ранжирование медицинских учреждений по количеству поступивших ОГ за 2 квартал 2026 на ЕПГУ: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</w:pPr>
      <w:r>
        <w:rPr>
          <w:lang w:eastAsia="ru-RU"/>
        </w:rPr>
        <w:drawing>
          <wp:inline distT="0" distB="0" distL="0" distR="0">
            <wp:extent cx="5808220" cy="5662072"/>
            <wp:effectExtent l="4762" t="4762" r="4762" b="4762"/>
            <wp:docPr id="4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600" behindDoc="0" locked="0" layoutInCell="1" allowOverlap="1">
                <wp:simplePos x="0" y="0"/>
                <wp:positionH relativeFrom="column">
                  <wp:posOffset>9457395</wp:posOffset>
                </wp:positionH>
                <wp:positionV relativeFrom="paragraph">
                  <wp:posOffset>1180560</wp:posOffset>
                </wp:positionV>
                <wp:extent cx="914400" cy="914400"/>
                <wp:effectExtent l="12700" t="12700" r="12700" b="12700"/>
                <wp:wrapNone/>
                <wp:docPr id="5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14399" cy="91439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type="#_x0000_t1" style="position:absolute;z-index:25600;o:allowoverlap:true;o:allowincell:true;mso-position-horizontal-relative:text;margin-left:744.68pt;mso-position-horizontal:absolute;mso-position-vertical-relative:text;margin-top:92.96pt;mso-position-vertical:absolute;width:72.00pt;height:72.00pt;mso-wrap-distance-left:9.07pt;mso-wrap-distance-top:0.00pt;mso-wrap-distance-right:9.07pt;mso-wrap-distance-bottom:0.00pt;visibility:visible;" fillcolor="#4F81BD" strokecolor="#27405E" strokeweight="2.00pt">
                <v:stroke dashstyle="solid"/>
              </v:shape>
            </w:pict>
          </mc:Fallback>
        </mc:AlternateContent>
      </w:r>
      <w:r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Структура обращений граждан, поступивших на ЕПГУ: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1050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943"/>
        <w:gridCol w:w="1559"/>
      </w:tblGrid>
      <w:tr>
        <w:tblPrEx/>
        <w:trPr>
          <w:trHeight w:val="312"/>
        </w:trPr>
        <w:tc>
          <w:tcPr>
            <w:shd w:val="clear" w:color="000000" w:fill="daeef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Тематика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aeef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8962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Электронные медицинские документы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2931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Проблемы с выбором временного слота для записи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1824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Проблемы с выбором медицинского специалиста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1612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Проблемы с больничным листом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Справочные службы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Проблемы с посещением врача по записи на прием к врачу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255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Иное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232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Запись на приём к врачу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173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Проблемы с прикреплением к медицинской организации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Проблемы с выбором региона при записи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Медицинская помощь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Врачи-специалисты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Другое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Вопросы по получению медицинской помощи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Вопрос по льготным рецептам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Медицинская карта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Лекарственные препараты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Некорректная информация о моей записи к врачу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 помещений медицинских учреждений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Вопросы по донорству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Жалоба на медработника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Прикрепление к медицинской организации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Жалоба на медицинскую организацию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Вызов врача на дом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Вопрос по категории льготы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Вызов скорой помощи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Вопросы с прохождением диспансеризации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Жалоба на качество оказания медицинской помощи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Обращение на 122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QR-код и сертификат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переболевшего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2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Запись на углубленную диспансеризацию после перенесенной новой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коронавирусной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инфекции (COVID-19)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Молочная кухня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Очередь на приём к врачу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Аптеки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Государственный контроль качества и безопасности медицинской деятельности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Диспансеризация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Проблема с лекарственным обеспечением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QR-код и сертификат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вакцинированного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Вопросы здравоохранения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Дезинфекция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Запись на вакцинацию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Коррупция в здравоохранении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Лечение от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коронавируса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Льготы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Нарушение нормативов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2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43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Обращение на 112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Перечень вопросов постоянно дополняется в зависимости от </w:t>
      </w:r>
      <w:r>
        <w:rPr>
          <w:rFonts w:ascii="Times New Roman" w:hAnsi="Times New Roman" w:cs="Times New Roman"/>
          <w:sz w:val="28"/>
          <w:szCs w:val="28"/>
        </w:rPr>
        <w:t xml:space="preserve">тем, поступающих от граждан.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</w:t>
      </w:r>
      <w:r>
        <w:rPr>
          <w:rFonts w:ascii="Times New Roman" w:hAnsi="Times New Roman" w:cs="Times New Roman"/>
          <w:sz w:val="28"/>
          <w:szCs w:val="28"/>
        </w:rPr>
        <w:t xml:space="preserve">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</w:t>
      </w:r>
      <w:r>
        <w:rPr>
          <w:rFonts w:ascii="Times New Roman" w:hAnsi="Times New Roman" w:cs="Times New Roman"/>
          <w:sz w:val="28"/>
          <w:szCs w:val="28"/>
        </w:rPr>
        <w:t xml:space="preserve">в крае. 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2240" w:h="15840" w:orient="portrait"/>
      <w:pgMar w:top="1134" w:right="850" w:bottom="284" w:left="993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93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65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7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9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1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3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5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7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95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8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7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2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20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03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25"/>
  </w:num>
  <w:num w:numId="3">
    <w:abstractNumId w:val="2"/>
  </w:num>
  <w:num w:numId="4">
    <w:abstractNumId w:val="35"/>
  </w:num>
  <w:num w:numId="5">
    <w:abstractNumId w:val="10"/>
  </w:num>
  <w:num w:numId="6">
    <w:abstractNumId w:val="37"/>
  </w:num>
  <w:num w:numId="7">
    <w:abstractNumId w:val="3"/>
  </w:num>
  <w:num w:numId="8">
    <w:abstractNumId w:val="8"/>
  </w:num>
  <w:num w:numId="9">
    <w:abstractNumId w:val="11"/>
  </w:num>
  <w:num w:numId="10">
    <w:abstractNumId w:val="31"/>
  </w:num>
  <w:num w:numId="11">
    <w:abstractNumId w:val="36"/>
  </w:num>
  <w:num w:numId="12">
    <w:abstractNumId w:val="4"/>
  </w:num>
  <w:num w:numId="13">
    <w:abstractNumId w:val="7"/>
  </w:num>
  <w:num w:numId="14">
    <w:abstractNumId w:val="5"/>
  </w:num>
  <w:num w:numId="15">
    <w:abstractNumId w:val="28"/>
  </w:num>
  <w:num w:numId="16">
    <w:abstractNumId w:val="15"/>
  </w:num>
  <w:num w:numId="17">
    <w:abstractNumId w:val="9"/>
  </w:num>
  <w:num w:numId="18">
    <w:abstractNumId w:val="24"/>
  </w:num>
  <w:num w:numId="19">
    <w:abstractNumId w:val="21"/>
  </w:num>
  <w:num w:numId="20">
    <w:abstractNumId w:val="23"/>
  </w:num>
  <w:num w:numId="21">
    <w:abstractNumId w:val="33"/>
  </w:num>
  <w:num w:numId="22">
    <w:abstractNumId w:val="12"/>
  </w:num>
  <w:num w:numId="23">
    <w:abstractNumId w:val="34"/>
  </w:num>
  <w:num w:numId="24">
    <w:abstractNumId w:val="32"/>
  </w:num>
  <w:num w:numId="25">
    <w:abstractNumId w:val="20"/>
  </w:num>
  <w:num w:numId="26">
    <w:abstractNumId w:val="1"/>
  </w:num>
  <w:num w:numId="27">
    <w:abstractNumId w:val="13"/>
  </w:num>
  <w:num w:numId="28">
    <w:abstractNumId w:val="19"/>
  </w:num>
  <w:num w:numId="29">
    <w:abstractNumId w:val="22"/>
  </w:num>
  <w:num w:numId="30">
    <w:abstractNumId w:val="14"/>
  </w:num>
  <w:num w:numId="31">
    <w:abstractNumId w:val="29"/>
  </w:num>
  <w:num w:numId="32">
    <w:abstractNumId w:val="6"/>
  </w:num>
  <w:num w:numId="33">
    <w:abstractNumId w:val="26"/>
  </w:num>
  <w:num w:numId="34">
    <w:abstractNumId w:val="18"/>
  </w:num>
  <w:num w:numId="35">
    <w:abstractNumId w:val="0"/>
  </w:num>
  <w:num w:numId="36">
    <w:abstractNumId w:val="30"/>
  </w:num>
  <w:num w:numId="37">
    <w:abstractNumId w:val="27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40"/>
    <w:link w:val="7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40"/>
    <w:link w:val="732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40"/>
    <w:link w:val="73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40"/>
    <w:link w:val="73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40"/>
    <w:link w:val="73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40"/>
    <w:link w:val="73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40"/>
    <w:link w:val="73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40"/>
    <w:link w:val="73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40"/>
    <w:link w:val="73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40"/>
    <w:link w:val="753"/>
    <w:uiPriority w:val="10"/>
    <w:rPr>
      <w:sz w:val="48"/>
      <w:szCs w:val="48"/>
    </w:rPr>
  </w:style>
  <w:style w:type="character" w:styleId="38">
    <w:name w:val="Subtitle Char"/>
    <w:basedOn w:val="740"/>
    <w:link w:val="755"/>
    <w:uiPriority w:val="11"/>
    <w:rPr>
      <w:sz w:val="24"/>
      <w:szCs w:val="24"/>
    </w:rPr>
  </w:style>
  <w:style w:type="character" w:styleId="40">
    <w:name w:val="Quote Char"/>
    <w:link w:val="757"/>
    <w:uiPriority w:val="29"/>
    <w:rPr>
      <w:i/>
    </w:rPr>
  </w:style>
  <w:style w:type="character" w:styleId="42">
    <w:name w:val="Intense Quote Char"/>
    <w:link w:val="759"/>
    <w:uiPriority w:val="30"/>
    <w:rPr>
      <w:i/>
    </w:rPr>
  </w:style>
  <w:style w:type="character" w:styleId="44">
    <w:name w:val="Header Char"/>
    <w:basedOn w:val="740"/>
    <w:link w:val="761"/>
    <w:uiPriority w:val="99"/>
  </w:style>
  <w:style w:type="character" w:styleId="46">
    <w:name w:val="Footer Char"/>
    <w:basedOn w:val="740"/>
    <w:link w:val="763"/>
    <w:uiPriority w:val="99"/>
  </w:style>
  <w:style w:type="character" w:styleId="48">
    <w:name w:val="Caption Char"/>
    <w:basedOn w:val="740"/>
    <w:link w:val="765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92"/>
    <w:uiPriority w:val="99"/>
    <w:rPr>
      <w:sz w:val="18"/>
    </w:rPr>
  </w:style>
  <w:style w:type="paragraph" w:styleId="730" w:default="1">
    <w:name w:val="Normal"/>
    <w:qFormat/>
  </w:style>
  <w:style w:type="paragraph" w:styleId="731">
    <w:name w:val="Heading 1"/>
    <w:basedOn w:val="730"/>
    <w:next w:val="730"/>
    <w:link w:val="743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32">
    <w:name w:val="Heading 2"/>
    <w:basedOn w:val="730"/>
    <w:next w:val="730"/>
    <w:link w:val="744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733">
    <w:name w:val="Heading 3"/>
    <w:basedOn w:val="730"/>
    <w:next w:val="730"/>
    <w:link w:val="745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34">
    <w:name w:val="Heading 4"/>
    <w:basedOn w:val="730"/>
    <w:next w:val="730"/>
    <w:link w:val="746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5">
    <w:name w:val="Heading 5"/>
    <w:basedOn w:val="730"/>
    <w:next w:val="730"/>
    <w:link w:val="747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6">
    <w:name w:val="Heading 6"/>
    <w:basedOn w:val="730"/>
    <w:next w:val="730"/>
    <w:link w:val="748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37">
    <w:name w:val="Heading 7"/>
    <w:basedOn w:val="730"/>
    <w:next w:val="730"/>
    <w:link w:val="749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38">
    <w:name w:val="Heading 8"/>
    <w:basedOn w:val="730"/>
    <w:next w:val="730"/>
    <w:link w:val="750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39">
    <w:name w:val="Heading 9"/>
    <w:basedOn w:val="730"/>
    <w:next w:val="730"/>
    <w:link w:val="751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0" w:default="1">
    <w:name w:val="Default Paragraph Font"/>
    <w:uiPriority w:val="1"/>
    <w:semiHidden/>
    <w:unhideWhenUsed/>
  </w:style>
  <w:style w:type="table" w:styleId="7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2" w:default="1">
    <w:name w:val="No List"/>
    <w:uiPriority w:val="99"/>
    <w:semiHidden/>
    <w:unhideWhenUsed/>
  </w:style>
  <w:style w:type="character" w:styleId="743" w:customStyle="1">
    <w:name w:val="Заголовок 1 Знак"/>
    <w:basedOn w:val="740"/>
    <w:link w:val="7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44" w:customStyle="1">
    <w:name w:val="Заголовок 2 Знак"/>
    <w:basedOn w:val="740"/>
    <w:link w:val="732"/>
    <w:uiPriority w:val="9"/>
    <w:rPr>
      <w:rFonts w:ascii="Liberation Sans" w:hAnsi="Liberation Sans" w:eastAsia="Liberation Sans" w:cs="Liberation Sans"/>
      <w:sz w:val="34"/>
    </w:rPr>
  </w:style>
  <w:style w:type="character" w:styleId="745" w:customStyle="1">
    <w:name w:val="Заголовок 3 Знак"/>
    <w:basedOn w:val="740"/>
    <w:link w:val="73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46" w:customStyle="1">
    <w:name w:val="Заголовок 4 Знак"/>
    <w:basedOn w:val="740"/>
    <w:link w:val="73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47" w:customStyle="1">
    <w:name w:val="Заголовок 5 Знак"/>
    <w:basedOn w:val="740"/>
    <w:link w:val="73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48" w:customStyle="1">
    <w:name w:val="Заголовок 6 Знак"/>
    <w:basedOn w:val="740"/>
    <w:link w:val="73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49" w:customStyle="1">
    <w:name w:val="Заголовок 7 Знак"/>
    <w:basedOn w:val="740"/>
    <w:link w:val="73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0" w:customStyle="1">
    <w:name w:val="Заголовок 8 Знак"/>
    <w:basedOn w:val="740"/>
    <w:link w:val="73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1" w:customStyle="1">
    <w:name w:val="Заголовок 9 Знак"/>
    <w:basedOn w:val="740"/>
    <w:link w:val="73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52">
    <w:name w:val="No Spacing"/>
    <w:uiPriority w:val="1"/>
    <w:qFormat/>
    <w:pPr>
      <w:spacing w:after="0" w:line="240" w:lineRule="auto"/>
    </w:pPr>
  </w:style>
  <w:style w:type="paragraph" w:styleId="753">
    <w:name w:val="Title"/>
    <w:basedOn w:val="730"/>
    <w:next w:val="730"/>
    <w:link w:val="754"/>
    <w:uiPriority w:val="10"/>
    <w:qFormat/>
    <w:pPr>
      <w:contextualSpacing/>
      <w:spacing w:before="300"/>
    </w:pPr>
    <w:rPr>
      <w:sz w:val="48"/>
      <w:szCs w:val="48"/>
    </w:rPr>
  </w:style>
  <w:style w:type="character" w:styleId="754" w:customStyle="1">
    <w:name w:val="Название Знак"/>
    <w:basedOn w:val="740"/>
    <w:link w:val="753"/>
    <w:uiPriority w:val="10"/>
    <w:rPr>
      <w:sz w:val="48"/>
      <w:szCs w:val="48"/>
    </w:rPr>
  </w:style>
  <w:style w:type="paragraph" w:styleId="755">
    <w:name w:val="Subtitle"/>
    <w:basedOn w:val="730"/>
    <w:next w:val="730"/>
    <w:link w:val="756"/>
    <w:uiPriority w:val="11"/>
    <w:qFormat/>
    <w:pPr>
      <w:spacing w:before="200"/>
    </w:pPr>
    <w:rPr>
      <w:sz w:val="24"/>
      <w:szCs w:val="24"/>
    </w:rPr>
  </w:style>
  <w:style w:type="character" w:styleId="756" w:customStyle="1">
    <w:name w:val="Подзаголовок Знак"/>
    <w:basedOn w:val="740"/>
    <w:link w:val="755"/>
    <w:uiPriority w:val="11"/>
    <w:rPr>
      <w:sz w:val="24"/>
      <w:szCs w:val="24"/>
    </w:rPr>
  </w:style>
  <w:style w:type="paragraph" w:styleId="757">
    <w:name w:val="Quote"/>
    <w:basedOn w:val="730"/>
    <w:next w:val="730"/>
    <w:link w:val="758"/>
    <w:uiPriority w:val="29"/>
    <w:qFormat/>
    <w:pPr>
      <w:ind w:left="720" w:right="720"/>
    </w:pPr>
    <w:rPr>
      <w:i/>
    </w:rPr>
  </w:style>
  <w:style w:type="character" w:styleId="758" w:customStyle="1">
    <w:name w:val="Цитата 2 Знак"/>
    <w:link w:val="757"/>
    <w:uiPriority w:val="29"/>
    <w:rPr>
      <w:i/>
    </w:rPr>
  </w:style>
  <w:style w:type="paragraph" w:styleId="759">
    <w:name w:val="Intense Quote"/>
    <w:basedOn w:val="730"/>
    <w:next w:val="730"/>
    <w:link w:val="76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0" w:customStyle="1">
    <w:name w:val="Выделенная цитата Знак"/>
    <w:link w:val="759"/>
    <w:uiPriority w:val="30"/>
    <w:rPr>
      <w:i/>
    </w:rPr>
  </w:style>
  <w:style w:type="paragraph" w:styleId="761">
    <w:name w:val="Header"/>
    <w:basedOn w:val="730"/>
    <w:link w:val="76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2" w:customStyle="1">
    <w:name w:val="Верхний колонтитул Знак"/>
    <w:basedOn w:val="740"/>
    <w:link w:val="761"/>
    <w:uiPriority w:val="99"/>
  </w:style>
  <w:style w:type="paragraph" w:styleId="763">
    <w:name w:val="Footer"/>
    <w:basedOn w:val="730"/>
    <w:link w:val="7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4" w:customStyle="1">
    <w:name w:val="Нижний колонтитул Знак"/>
    <w:basedOn w:val="740"/>
    <w:link w:val="763"/>
    <w:uiPriority w:val="99"/>
  </w:style>
  <w:style w:type="paragraph" w:styleId="765">
    <w:name w:val="Caption"/>
    <w:basedOn w:val="730"/>
    <w:next w:val="730"/>
    <w:link w:val="76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66" w:customStyle="1">
    <w:name w:val="Название объекта Знак"/>
    <w:basedOn w:val="740"/>
    <w:link w:val="765"/>
    <w:uiPriority w:val="35"/>
    <w:rPr>
      <w:b/>
      <w:bCs/>
      <w:color w:val="4f81bd" w:themeColor="accent1"/>
      <w:sz w:val="18"/>
      <w:szCs w:val="18"/>
    </w:rPr>
  </w:style>
  <w:style w:type="table" w:styleId="767" w:customStyle="1">
    <w:name w:val="Table Grid Light"/>
    <w:basedOn w:val="74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8" w:customStyle="1">
    <w:name w:val="Plain Table 1"/>
    <w:basedOn w:val="74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9" w:customStyle="1">
    <w:name w:val="Plain Table 2"/>
    <w:basedOn w:val="74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0" w:customStyle="1">
    <w:name w:val="Plain Table 3"/>
    <w:basedOn w:val="7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1" w:customStyle="1">
    <w:name w:val="Plain Table 4"/>
    <w:basedOn w:val="7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Plain Table 5"/>
    <w:basedOn w:val="7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1 Light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2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4"/>
    <w:basedOn w:val="7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5" w:customStyle="1">
    <w:name w:val="Grid Table 4 - Accent 1"/>
    <w:basedOn w:val="7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6" w:customStyle="1">
    <w:name w:val="Grid Table 4 - Accent 2"/>
    <w:basedOn w:val="7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7" w:customStyle="1">
    <w:name w:val="Grid Table 4 - Accent 3"/>
    <w:basedOn w:val="7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8" w:customStyle="1">
    <w:name w:val="Grid Table 4 - Accent 4"/>
    <w:basedOn w:val="7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9" w:customStyle="1">
    <w:name w:val="Grid Table 4 - Accent 5"/>
    <w:basedOn w:val="7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0" w:customStyle="1">
    <w:name w:val="Grid Table 4 - Accent 6"/>
    <w:basedOn w:val="7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1" w:customStyle="1">
    <w:name w:val="Grid Table 5 Dark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6 Colorful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9" w:customStyle="1">
    <w:name w:val="Grid Table 6 Colorful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0" w:customStyle="1">
    <w:name w:val="Grid Table 6 Colorful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1" w:customStyle="1">
    <w:name w:val="Grid Table 6 Colorful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2" w:customStyle="1">
    <w:name w:val="Grid Table 6 Colorful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3" w:customStyle="1">
    <w:name w:val="Grid Table 6 Colorful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4" w:customStyle="1">
    <w:name w:val="Grid Table 6 Colorful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5" w:customStyle="1">
    <w:name w:val="Grid Table 7 Colorful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7 Colorful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7 Colorful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7 Colorful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"/>
    <w:basedOn w:val="7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 - Accent 1"/>
    <w:basedOn w:val="7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2"/>
    <w:basedOn w:val="7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3"/>
    <w:basedOn w:val="7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4"/>
    <w:basedOn w:val="7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5"/>
    <w:basedOn w:val="7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6"/>
    <w:basedOn w:val="7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0" w:customStyle="1">
    <w:name w:val="List Table 2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6" w:customStyle="1">
    <w:name w:val="List Table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5 Dark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1" w:customStyle="1">
    <w:name w:val="List Table 5 Dark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2" w:customStyle="1">
    <w:name w:val="List Table 5 Dark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3" w:customStyle="1">
    <w:name w:val="List Table 5 Dark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4" w:customStyle="1">
    <w:name w:val="List Table 5 Dark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5" w:customStyle="1">
    <w:name w:val="List Table 5 Dark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6" w:customStyle="1">
    <w:name w:val="List Table 5 Dark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7" w:customStyle="1">
    <w:name w:val="List Table 6 Colorful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8" w:customStyle="1">
    <w:name w:val="List Table 6 Colorful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9" w:customStyle="1">
    <w:name w:val="List Table 6 Colorful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0" w:customStyle="1">
    <w:name w:val="List Table 6 Colorful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1" w:customStyle="1">
    <w:name w:val="List Table 6 Colorful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2" w:customStyle="1">
    <w:name w:val="List Table 6 Colorful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3" w:customStyle="1">
    <w:name w:val="List Table 6 Colorful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4" w:customStyle="1">
    <w:name w:val="List Table 7 Colorful"/>
    <w:basedOn w:val="7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7 Colorful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7 Colorful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7 Colorful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ned - Accent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2" w:customStyle="1">
    <w:name w:val="Lined - Accent 1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3" w:customStyle="1">
    <w:name w:val="Lined - Accent 2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4" w:customStyle="1">
    <w:name w:val="Lined - Accent 3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5" w:customStyle="1">
    <w:name w:val="Lined - Accent 4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6" w:customStyle="1">
    <w:name w:val="Lined - Accent 5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7" w:customStyle="1">
    <w:name w:val="Lined - Accent 6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8" w:customStyle="1">
    <w:name w:val="Bordered &amp; Lined - Accent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9" w:customStyle="1">
    <w:name w:val="Bordered &amp; Lined - Accent 1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0" w:customStyle="1">
    <w:name w:val="Bordered &amp; Lined - Accent 2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1" w:customStyle="1">
    <w:name w:val="Bordered &amp; Lined - Accent 3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2" w:customStyle="1">
    <w:name w:val="Bordered &amp; Lined - Accent 4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3" w:customStyle="1">
    <w:name w:val="Bordered &amp; Lined - Accent 5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4" w:customStyle="1">
    <w:name w:val="Bordered &amp; Lined - Accent 6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5" w:customStyle="1">
    <w:name w:val="Bordered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6" w:customStyle="1">
    <w:name w:val="Bordered - Accent 1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7" w:customStyle="1">
    <w:name w:val="Bordered - Accent 2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8" w:customStyle="1">
    <w:name w:val="Bordered - Accent 3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9" w:customStyle="1">
    <w:name w:val="Bordered - Accent 4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0" w:customStyle="1">
    <w:name w:val="Bordered - Accent 5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1" w:customStyle="1">
    <w:name w:val="Bordered - Accent 6"/>
    <w:basedOn w:val="7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92">
    <w:name w:val="footnote text"/>
    <w:basedOn w:val="730"/>
    <w:link w:val="893"/>
    <w:uiPriority w:val="99"/>
    <w:semiHidden/>
    <w:unhideWhenUsed/>
    <w:pPr>
      <w:spacing w:after="40" w:line="240" w:lineRule="auto"/>
    </w:pPr>
    <w:rPr>
      <w:sz w:val="18"/>
    </w:rPr>
  </w:style>
  <w:style w:type="character" w:styleId="893" w:customStyle="1">
    <w:name w:val="Текст сноски Знак"/>
    <w:link w:val="892"/>
    <w:uiPriority w:val="99"/>
    <w:rPr>
      <w:sz w:val="18"/>
    </w:rPr>
  </w:style>
  <w:style w:type="character" w:styleId="894">
    <w:name w:val="footnote reference"/>
    <w:basedOn w:val="740"/>
    <w:uiPriority w:val="99"/>
    <w:unhideWhenUsed/>
    <w:rPr>
      <w:vertAlign w:val="superscript"/>
    </w:rPr>
  </w:style>
  <w:style w:type="character" w:styleId="895" w:customStyle="1">
    <w:name w:val="Endnote Text Char"/>
    <w:uiPriority w:val="99"/>
    <w:rPr>
      <w:sz w:val="20"/>
    </w:rPr>
  </w:style>
  <w:style w:type="paragraph" w:styleId="896">
    <w:name w:val="toc 1"/>
    <w:basedOn w:val="730"/>
    <w:next w:val="730"/>
    <w:uiPriority w:val="39"/>
    <w:unhideWhenUsed/>
    <w:pPr>
      <w:spacing w:after="57"/>
    </w:pPr>
  </w:style>
  <w:style w:type="paragraph" w:styleId="897">
    <w:name w:val="toc 2"/>
    <w:basedOn w:val="730"/>
    <w:next w:val="730"/>
    <w:uiPriority w:val="39"/>
    <w:unhideWhenUsed/>
    <w:pPr>
      <w:ind w:left="283"/>
      <w:spacing w:after="57"/>
    </w:pPr>
  </w:style>
  <w:style w:type="paragraph" w:styleId="898">
    <w:name w:val="toc 3"/>
    <w:basedOn w:val="730"/>
    <w:next w:val="730"/>
    <w:uiPriority w:val="39"/>
    <w:unhideWhenUsed/>
    <w:pPr>
      <w:ind w:left="567"/>
      <w:spacing w:after="57"/>
    </w:pPr>
  </w:style>
  <w:style w:type="paragraph" w:styleId="899">
    <w:name w:val="toc 4"/>
    <w:basedOn w:val="730"/>
    <w:next w:val="730"/>
    <w:uiPriority w:val="39"/>
    <w:unhideWhenUsed/>
    <w:pPr>
      <w:ind w:left="850"/>
      <w:spacing w:after="57"/>
    </w:pPr>
  </w:style>
  <w:style w:type="paragraph" w:styleId="900">
    <w:name w:val="toc 5"/>
    <w:basedOn w:val="730"/>
    <w:next w:val="730"/>
    <w:uiPriority w:val="39"/>
    <w:unhideWhenUsed/>
    <w:pPr>
      <w:ind w:left="1134"/>
      <w:spacing w:after="57"/>
    </w:pPr>
  </w:style>
  <w:style w:type="paragraph" w:styleId="901">
    <w:name w:val="toc 6"/>
    <w:basedOn w:val="730"/>
    <w:next w:val="730"/>
    <w:uiPriority w:val="39"/>
    <w:unhideWhenUsed/>
    <w:pPr>
      <w:ind w:left="1417"/>
      <w:spacing w:after="57"/>
    </w:pPr>
  </w:style>
  <w:style w:type="paragraph" w:styleId="902">
    <w:name w:val="toc 7"/>
    <w:basedOn w:val="730"/>
    <w:next w:val="730"/>
    <w:uiPriority w:val="39"/>
    <w:unhideWhenUsed/>
    <w:pPr>
      <w:ind w:left="1701"/>
      <w:spacing w:after="57"/>
    </w:pPr>
  </w:style>
  <w:style w:type="paragraph" w:styleId="903">
    <w:name w:val="toc 8"/>
    <w:basedOn w:val="730"/>
    <w:next w:val="730"/>
    <w:uiPriority w:val="39"/>
    <w:unhideWhenUsed/>
    <w:pPr>
      <w:ind w:left="1984"/>
      <w:spacing w:after="57"/>
    </w:pPr>
  </w:style>
  <w:style w:type="paragraph" w:styleId="904">
    <w:name w:val="toc 9"/>
    <w:basedOn w:val="730"/>
    <w:next w:val="730"/>
    <w:uiPriority w:val="39"/>
    <w:unhideWhenUsed/>
    <w:pPr>
      <w:ind w:left="2268"/>
      <w:spacing w:after="57"/>
    </w:pPr>
  </w:style>
  <w:style w:type="paragraph" w:styleId="905">
    <w:name w:val="TOC Heading"/>
    <w:uiPriority w:val="39"/>
    <w:unhideWhenUsed/>
  </w:style>
  <w:style w:type="paragraph" w:styleId="906">
    <w:name w:val="table of figures"/>
    <w:basedOn w:val="730"/>
    <w:next w:val="730"/>
    <w:uiPriority w:val="99"/>
    <w:unhideWhenUsed/>
    <w:pPr>
      <w:spacing w:after="0"/>
    </w:pPr>
  </w:style>
  <w:style w:type="table" w:styleId="907">
    <w:name w:val="Table Grid"/>
    <w:basedOn w:val="74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8">
    <w:name w:val="List Paragraph"/>
    <w:basedOn w:val="730"/>
    <w:uiPriority w:val="34"/>
    <w:qFormat/>
    <w:pPr>
      <w:contextualSpacing/>
      <w:ind w:left="720"/>
    </w:pPr>
  </w:style>
  <w:style w:type="paragraph" w:styleId="909">
    <w:name w:val="Balloon Text"/>
    <w:basedOn w:val="730"/>
    <w:link w:val="91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10" w:customStyle="1">
    <w:name w:val="Текст выноски Знак"/>
    <w:basedOn w:val="740"/>
    <w:link w:val="909"/>
    <w:uiPriority w:val="99"/>
    <w:semiHidden/>
    <w:rPr>
      <w:rFonts w:ascii="Tahoma" w:hAnsi="Tahoma" w:cs="Tahoma"/>
      <w:sz w:val="16"/>
      <w:szCs w:val="16"/>
    </w:rPr>
  </w:style>
  <w:style w:type="paragraph" w:styleId="911">
    <w:name w:val="endnote text"/>
    <w:basedOn w:val="730"/>
    <w:link w:val="91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12" w:customStyle="1">
    <w:name w:val="Текст концевой сноски Знак"/>
    <w:basedOn w:val="740"/>
    <w:link w:val="911"/>
    <w:uiPriority w:val="99"/>
    <w:semiHidden/>
    <w:rPr>
      <w:sz w:val="20"/>
      <w:szCs w:val="20"/>
    </w:rPr>
  </w:style>
  <w:style w:type="character" w:styleId="913">
    <w:name w:val="endnote reference"/>
    <w:basedOn w:val="740"/>
    <w:uiPriority w:val="99"/>
    <w:semiHidden/>
    <w:unhideWhenUsed/>
    <w:rPr>
      <w:vertAlign w:val="superscript"/>
    </w:rPr>
  </w:style>
  <w:style w:type="character" w:styleId="914">
    <w:name w:val="Hyperlink"/>
    <w:basedOn w:val="740"/>
    <w:uiPriority w:val="99"/>
    <w:semiHidden/>
    <w:unhideWhenUsed/>
    <w:rPr>
      <w:color w:val="0563c1"/>
      <w:u w:val="single"/>
    </w:rPr>
  </w:style>
  <w:style w:type="character" w:styleId="915">
    <w:name w:val="FollowedHyperlink"/>
    <w:basedOn w:val="740"/>
    <w:uiPriority w:val="99"/>
    <w:semiHidden/>
    <w:unhideWhenUsed/>
    <w:rPr>
      <w:color w:val="954f72"/>
      <w:u w:val="single"/>
    </w:rPr>
  </w:style>
  <w:style w:type="paragraph" w:styleId="916" w:customStyle="1">
    <w:name w:val="xl65"/>
    <w:basedOn w:val="73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xl66"/>
    <w:basedOn w:val="73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8" w:customStyle="1">
    <w:name w:val="xl67"/>
    <w:basedOn w:val="73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9" w:customStyle="1">
    <w:name w:val="xl68"/>
    <w:basedOn w:val="73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0" w:customStyle="1">
    <w:name w:val="xl69"/>
    <w:basedOn w:val="73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1" w:customStyle="1">
    <w:name w:val="xl71"/>
    <w:basedOn w:val="73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2" w:customStyle="1">
    <w:name w:val="xl72"/>
    <w:basedOn w:val="73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3" w:customStyle="1">
    <w:name w:val="xl73"/>
    <w:basedOn w:val="73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4" w:customStyle="1">
    <w:name w:val="xl74"/>
    <w:basedOn w:val="73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5" w:customStyle="1">
    <w:name w:val="xl75"/>
    <w:basedOn w:val="73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6" w:customStyle="1">
    <w:name w:val="xl76"/>
    <w:basedOn w:val="730"/>
    <w:pPr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7" w:customStyle="1">
    <w:name w:val="xl77"/>
    <w:basedOn w:val="730"/>
    <w:pPr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8" w:customStyle="1">
    <w:name w:val="xl78"/>
    <w:basedOn w:val="73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29" w:customStyle="1">
    <w:name w:val="xl79"/>
    <w:basedOn w:val="73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30" w:customStyle="1">
    <w:name w:val="xl80"/>
    <w:basedOn w:val="73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931" w:customStyle="1">
    <w:name w:val="xl81"/>
    <w:basedOn w:val="73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2" w:customStyle="1">
    <w:name w:val="xl82"/>
    <w:basedOn w:val="73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3" w:customStyle="1">
    <w:name w:val="xl83"/>
    <w:basedOn w:val="730"/>
    <w:pPr>
      <w:jc w:val="right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4" w:customStyle="1">
    <w:name w:val="xl84"/>
    <w:basedOn w:val="73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5">
    <w:name w:val="Normal (Web)"/>
    <w:basedOn w:val="73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hart" Target="charts/chart1.xml" /><Relationship Id="rId11" Type="http://schemas.openxmlformats.org/officeDocument/2006/relationships/chart" Target="charts/chart2.xml" /><Relationship Id="rId12" Type="http://schemas.openxmlformats.org/officeDocument/2006/relationships/chart" Target="charts/chart3.xml" /><Relationship Id="rId13" Type="http://schemas.openxmlformats.org/officeDocument/2006/relationships/chart" Target="charts/chart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microsoft.com/office/2011/relationships/chartStyle" Target="style1.xml" /><Relationship Id="rId2" Type="http://schemas.microsoft.com/office/2011/relationships/chartColorStyle" Target="colors1.xml" /><Relationship Id="rId3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microsoft.com/office/2011/relationships/chartStyle" Target="style2.xml" /><Relationship Id="rId2" Type="http://schemas.microsoft.com/office/2011/relationships/chartColorStyle" Target="colors2.xml" /><Relationship Id="rId3" Type="http://schemas.openxmlformats.org/officeDocument/2006/relationships/package" Target="../embeddings/Microsoft_Excel_Worksheet2.xlsx" /></Relationships>
</file>

<file path=word/charts/_rels/chart3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3.xlsx" /></Relationships>
</file>

<file path=word/charts/_rels/chart4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4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autoTitleDeleted val="0"/>
    <c:plotArea>
      <c:layout>
        <c:manualLayout/>
      </c:layout>
      <c:barChart>
        <c:barDir val="col"/>
        <c:grouping val="clustered"/>
        <c:varyColors val="0"/>
        <c:ser>
          <c:idx val="0"/>
          <c:order val="0"/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</c:spPr>
          <c:invertIfNegative val="0"/>
          <c:dLbls>
            <c:dLblPos val="outEnd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Лист1!$C$12:$D$12</c:f>
              <c:strCache>
                <c:ptCount val="2"/>
                <c:pt idx="0">
                  <c:v xml:space="preserve">1 квартал 2026</c:v>
                </c:pt>
                <c:pt idx="1">
                  <c:v xml:space="preserve">2 квартал 2026</c:v>
                </c:pt>
              </c:strCache>
            </c:strRef>
          </c:cat>
          <c:val>
            <c:numRef>
              <c:f>Лист1!$C$13:$D$13</c:f>
              <c:numCache>
                <c:formatCode>#,##0</c:formatCode>
                <c:ptCount val="2"/>
                <c:pt idx="0">
                  <c:v>17835</c:v>
                </c:pt>
                <c:pt idx="1">
                  <c:v>16271</c:v>
                </c:pt>
              </c:numCache>
            </c:numRef>
          </c:val>
        </c:ser>
        <c:dLbls>
          <c:dLblPos val="outEnd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  <c:gapWidth val="219"/>
        <c:overlap val="-26"/>
        <c:axId val="1866169485"/>
        <c:axId val="1866169486"/>
      </c:barChart>
      <c:catAx>
        <c:axId val="186616948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486"/>
        <c:crosses val="autoZero"/>
        <c:auto val="1"/>
        <c:lblAlgn val="ctr"/>
        <c:lblOffset val="100"/>
        <c:tickMarkSkip val="1"/>
        <c:noMultiLvlLbl val="0"/>
      </c:catAx>
      <c:valAx>
        <c:axId val="1866169486"/>
        <c:scaling>
          <c:orientation val="minMax"/>
        </c:scaling>
        <c:delete val="1"/>
        <c:axPos val="l"/>
        <c:majorGridlines>
          <c:spPr bwMode="auto">
            <a:prstGeom prst="rect">
              <a:avLst/>
            </a:prstGeom>
            <a:noFill/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#,##0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</c:spPr>
        <c:txPr>
          <a:bodyPr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/>
          </a:p>
        </c:txPr>
        <c:crossAx val="1866169485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</c:spPr>
    </c:plotArea>
    <c:plotVisOnly val="1"/>
    <c:dispBlanksAs val="gap"/>
    <c:showDLblsOverMax val="0"/>
  </c:chart>
  <c:spPr bwMode="auto">
    <a:xfrm>
      <a:off x="0" y="0"/>
      <a:ext cx="4552948" cy="2724148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  <c:printSettings>
    <c:headerFooter/>
    <c:pageMargins l="0.69999999999999996" r="0.69999999999999996" t="0.75" b="0.75" header="0.29999999999999999" footer="0.29999999999999999"/>
    <c:pageSetup/>
  </c:printSettings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autoTitleDeleted val="0"/>
    <c:plotArea>
      <c:layout>
        <c:manualLayout/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Лист1!$C$12</c:f>
              <c:strCache>
                <c:ptCount val="1"/>
                <c:pt idx="0">
                  <c:v xml:space="preserve">1 квартал 2026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</c:spPr>
          <c:invertIfNegative val="0"/>
          <c:dLbls>
            <c:dLblPos val="outEnd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Лист1!$B$13:$B$15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 xml:space="preserve">ЕПГУ ПОС</c:v>
                </c:pt>
              </c:strCache>
            </c:strRef>
          </c:cat>
          <c:val>
            <c:numRef>
              <c:f>Лист1!$C$13:$C$15</c:f>
              <c:numCache>
                <c:formatCode>#,##0</c:formatCode>
                <c:ptCount val="3"/>
                <c:pt idx="0">
                  <c:v>4448</c:v>
                </c:pt>
                <c:pt idx="1">
                  <c:v>2889</c:v>
                </c:pt>
                <c:pt idx="2">
                  <c:v>10498</c:v>
                </c:pt>
              </c:numCache>
            </c:numRef>
          </c:val>
        </c:ser>
        <c:ser>
          <c:idx val="1"/>
          <c:order val="1"/>
          <c:tx>
            <c:strRef>
              <c:f>Лист1!$D$12</c:f>
              <c:strCache>
                <c:ptCount val="1"/>
                <c:pt idx="0">
                  <c:v xml:space="preserve">2 квартал 2026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2"/>
            </a:solidFill>
            <a:ln>
              <a:noFill/>
            </a:ln>
          </c:spPr>
          <c:invertIfNegative val="0"/>
          <c:dLbls>
            <c:dLblPos val="outEnd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Лист1!$B$13:$B$15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 xml:space="preserve">ЕПГУ ПОС</c:v>
                </c:pt>
              </c:strCache>
            </c:strRef>
          </c:cat>
          <c:val>
            <c:numRef>
              <c:f>Лист1!$D$13:$D$15</c:f>
              <c:numCache>
                <c:formatCode>#,##0</c:formatCode>
                <c:ptCount val="3"/>
                <c:pt idx="0">
                  <c:v>4332</c:v>
                </c:pt>
                <c:pt idx="1">
                  <c:v>2977</c:v>
                </c:pt>
                <c:pt idx="2">
                  <c:v>8962</c:v>
                </c:pt>
              </c:numCache>
            </c:numRef>
          </c:val>
        </c:ser>
        <c:dLbls>
          <c:dLblPos val="outEnd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  <c:gapWidth val="219"/>
        <c:overlap val="-26"/>
        <c:axId val="1866169521"/>
        <c:axId val="1866169522"/>
      </c:barChart>
      <c:catAx>
        <c:axId val="186616952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522"/>
        <c:crosses val="autoZero"/>
        <c:auto val="1"/>
        <c:lblAlgn val="ctr"/>
        <c:lblOffset val="100"/>
        <c:tickMarkSkip val="1"/>
        <c:noMultiLvlLbl val="0"/>
      </c:catAx>
      <c:valAx>
        <c:axId val="1866169522"/>
        <c:scaling>
          <c:orientation val="minMax"/>
        </c:scaling>
        <c:delete val="1"/>
        <c:axPos val="l"/>
        <c:majorGridlines>
          <c:spPr bwMode="auto">
            <a:prstGeom prst="rect">
              <a:avLst/>
            </a:prstGeom>
            <a:noFill/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#,##0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</c:spPr>
        <c:txPr>
          <a:bodyPr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/>
          </a:p>
        </c:txPr>
        <c:crossAx val="1866169521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 bwMode="auto">
    <a:xfrm>
      <a:off x="0" y="0"/>
      <a:ext cx="4552948" cy="2724148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  <c:printSettings>
    <c:headerFooter/>
    <c:pageMargins l="0.69999999999999996" r="0.69999999999999996" t="0.75" b="0.75" header="0.29999999999999999" footer="0.29999999999999999"/>
    <c:pageSetup/>
  </c:printSettings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025100"/>
          <c:y val="0.152640"/>
          <c:w val="0.945600"/>
          <c:h val="0.671400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 xml:space="preserve">1 кв.2026</c:v>
                </c:pt>
              </c:strCache>
            </c:strRef>
          </c:tx>
          <c:spPr bwMode="auto">
            <a:prstGeom prst="rect">
              <a:avLst/>
            </a:prstGeom>
            <a:ln w="28575" cap="rnd">
              <a:solidFill>
                <a:schemeClr val="accent1"/>
              </a:solidFill>
              <a:round/>
            </a:ln>
          </c:spPr>
          <c:marker>
            <c:symbol val="none"/>
          </c:marker>
          <c:dLbls>
            <c:dLbl>
              <c:idx val="0"/>
              <c:dLblPos val="t"/>
              <c:layout>
                <c:manualLayout>
                  <c:x val="-0.041840"/>
                  <c:y val="0.05944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</c:dLbl>
            <c:dLblPos val="t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lstStyle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strRef>
              <c:f>Лист1!$A$3:$A$5</c:f>
              <c:strCache>
                <c:ptCount val="3"/>
                <c:pt idx="0">
                  <c:v>Январь/апрель</c:v>
                </c:pt>
                <c:pt idx="1">
                  <c:v>Февраль/май</c:v>
                </c:pt>
                <c:pt idx="2">
                  <c:v>Март/июнь</c:v>
                </c:pt>
              </c:strCache>
            </c:strRef>
          </c:cat>
          <c:val>
            <c:numRef>
              <c:f>Лист1!$B$3:$B$5</c:f>
              <c:numCache>
                <c:formatCode>General</c:formatCode>
                <c:ptCount val="3"/>
                <c:pt idx="0">
                  <c:v>3323</c:v>
                </c:pt>
                <c:pt idx="1">
                  <c:v>3602</c:v>
                </c:pt>
                <c:pt idx="2">
                  <c:v>3573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Лист1!$C$2</c:f>
              <c:strCache>
                <c:ptCount val="1"/>
                <c:pt idx="0">
                  <c:v xml:space="preserve">2 кв.2026</c:v>
                </c:pt>
              </c:strCache>
            </c:strRef>
          </c:tx>
          <c:spPr bwMode="auto">
            <a:prstGeom prst="rect">
              <a:avLst/>
            </a:prstGeom>
            <a:ln w="28575" cap="rnd">
              <a:solidFill>
                <a:schemeClr val="accent2"/>
              </a:solidFill>
              <a:round/>
            </a:ln>
          </c:spPr>
          <c:marker>
            <c:symbol val="none"/>
          </c:marker>
          <c:dLbls>
            <c:dLbl>
              <c:idx val="0"/>
              <c:dLblPos val="t"/>
              <c:layout>
                <c:manualLayout>
                  <c:x val="-0.043930"/>
                  <c:y val="0.02447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2"/>
              <c:dLblPos val="t"/>
              <c:layout>
                <c:manualLayout>
                  <c:x val="0.006270"/>
                  <c:y val="0.01048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</c:dLbl>
            <c:dLblPos val="t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lstStyle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strRef>
              <c:f>Лист1!$A$3:$A$5</c:f>
              <c:strCache>
                <c:ptCount val="3"/>
                <c:pt idx="0">
                  <c:v>Январь/апрель</c:v>
                </c:pt>
                <c:pt idx="1">
                  <c:v>Февраль/май</c:v>
                </c:pt>
                <c:pt idx="2">
                  <c:v>Март/июнь</c:v>
                </c:pt>
              </c:strCache>
            </c:strRef>
          </c:cat>
          <c:val>
            <c:numRef>
              <c:f>Лист1!$C$3:$C$5</c:f>
              <c:numCache>
                <c:formatCode>General</c:formatCode>
                <c:ptCount val="3"/>
                <c:pt idx="0">
                  <c:v>3577</c:v>
                </c:pt>
                <c:pt idx="1">
                  <c:v>2654</c:v>
                </c:pt>
                <c:pt idx="2">
                  <c:v>2720</c:v>
                </c:pt>
              </c:numCache>
            </c:numRef>
          </c:val>
          <c:smooth val="0"/>
        </c:ser>
        <c:dLbls>
          <c:dLblPos val="t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</c:dLbls>
        <c:marker val="1"/>
        <c:smooth val="0"/>
        <c:axId val="202757632"/>
        <c:axId val="202759168"/>
      </c:lineChart>
      <c:catAx>
        <c:axId val="202757632"/>
        <c:scaling>
          <c:orientation val="minMax"/>
        </c:scaling>
        <c:delete val="0"/>
        <c:axPos val="b"/>
        <c:numFmt formatCode="General" sourceLinked="1"/>
        <c:majorTickMark val="none"/>
        <c:minorTickMark val="out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/>
          <a:lstStyle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 lang="ru-RU"/>
          </a:p>
        </c:txPr>
        <c:crossAx val="202759168"/>
        <c:crosses val="autoZero"/>
        <c:auto val="1"/>
        <c:lblAlgn val="ctr"/>
        <c:lblOffset val="100"/>
        <c:tickMarkSkip val="1"/>
        <c:noMultiLvlLbl val="0"/>
      </c:catAx>
      <c:valAx>
        <c:axId val="202759168"/>
        <c:scaling>
          <c:orientation val="minMax"/>
        </c:scaling>
        <c:delete val="1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General" sourceLinked="1"/>
        <c:majorTickMark val="none"/>
        <c:minorTickMark val="none"/>
        <c:tickLblPos val="nextTo"/>
        <c:crossAx val="202757632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lstStyle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cat>
            <c:strRef>
              <c:f>Лист1!$A$1:$A$101</c:f>
              <c:strCache>
                <c:ptCount val="101"/>
                <c:pt idx="0">
                  <c:v xml:space="preserve">"КЛИНИЧЕСКИЙ КАРДИОЛОГИЧЕСКИЙ ДИСПАНСЕР"</c:v>
                </c:pt>
                <c:pt idx="1">
                  <c:v xml:space="preserve">"КРАЕВОЕ БЮРО СУДЕБНО-МЕДИЦИНСКОЙ ЭКСПЕРТИЗЫ И ПАТОЛОГО-АНАТОМИЧЕСКИХ ИССЛЕДОВАНИЙ"</c:v>
                </c:pt>
                <c:pt idx="2">
                  <c:v xml:space="preserve"> "УИНСКАЯ ЦРБ"</c:v>
                </c:pt>
                <c:pt idx="3">
                  <c:v xml:space="preserve">"ЧУСОВСКАЯ ССМП"</c:v>
                </c:pt>
                <c:pt idx="4">
                  <c:v xml:space="preserve">ООО "КЛИНИКА ЭКСПЕРТ ПЕРМЬ"</c:v>
                </c:pt>
                <c:pt idx="5">
                  <c:v xml:space="preserve">ООО "УСТЬ-КАЧКИНСКАЯ СЕЛЬСКАЯ ВРАЧЕБНАЯ АМБУЛАТОРИЯ"</c:v>
                </c:pt>
                <c:pt idx="6">
                  <c:v xml:space="preserve"> "ВРАЧЕБНО-ФИЗКУЛЬТУРНЫЙ ДИСПАНСЕР"</c:v>
                </c:pt>
                <c:pt idx="7">
                  <c:v xml:space="preserve">ООО "ГОРОДСКАЯ ПОЛИКЛИНИКА" Г. КРАСНОКАМСК</c:v>
                </c:pt>
                <c:pt idx="8">
                  <c:v xml:space="preserve">ООО "ПЕРВЫЙ ТРАВМПУНКТ"</c:v>
                </c:pt>
                <c:pt idx="9">
                  <c:v xml:space="preserve">"ДЕТСКАЯ КЛИНИЧЕСКАЯ БОЛЬНИЦА № 13"</c:v>
                </c:pt>
                <c:pt idx="10">
                  <c:v xml:space="preserve"> "ПЕРМСКИЙ КРАЕВОЙ КЛИНИЧЕСКИЙ ГОСПИТАЛЬ ДЛЯ ВЕТЕРАНОВ ВОЙН"</c:v>
                </c:pt>
                <c:pt idx="11">
                  <c:v xml:space="preserve">АО "СОЛИКАМСКБУМПРОМ"</c:v>
                </c:pt>
                <c:pt idx="12">
                  <c:v xml:space="preserve">"ИЛЬИНСКАЯ ЦРБ"</c:v>
                </c:pt>
                <c:pt idx="13">
                  <c:v xml:space="preserve"> "СЕВЕРНАЯ БОЛЬНИЦА КОМИ-ПЕРМЯЦКОГО ОКРУГА"</c:v>
                </c:pt>
                <c:pt idx="14">
                  <c:v xml:space="preserve"> "ЧАСТИНСКАЯ ЦРБ"</c:v>
                </c:pt>
                <c:pt idx="15">
                  <c:v xml:space="preserve">"МСЧ МВД РФ ПО ПЕРМСКОМУ КРАЮ"</c:v>
                </c:pt>
                <c:pt idx="16">
                  <c:v xml:space="preserve">"СИВИНСКАЯ ЦРБ"</c:v>
                </c:pt>
                <c:pt idx="17">
                  <c:v xml:space="preserve">ООО "УРАЛКАЛИЙ-МЕД"</c:v>
                </c:pt>
                <c:pt idx="18">
                  <c:v xml:space="preserve">"КИШЕРТСКАЯ ЦРБ"</c:v>
                </c:pt>
                <c:pt idx="19">
                  <c:v xml:space="preserve">"КУНГУРСКАЯ ГОРОДСКАЯ ССМП"</c:v>
                </c:pt>
                <c:pt idx="20">
                  <c:v xml:space="preserve">"ПЕРМСКИЙ КРАЕВОЙ ЦЕНТР ПО ПРОФИЛАКТИКЕ И БОРЬБЕ СО СПИД И ИЗ"</c:v>
                </c:pt>
                <c:pt idx="21">
                  <c:v xml:space="preserve">"ССМП Г. БЕРЕЗНИКИ"</c:v>
                </c:pt>
                <c:pt idx="22">
                  <c:v xml:space="preserve"> "ЧЕРДЫНСКАЯ РАЙОННАЯ БОЛЬНИЦА"</c:v>
                </c:pt>
                <c:pt idx="23">
                  <c:v xml:space="preserve">ООО "МСЧ  СОДА"</c:v>
                </c:pt>
                <c:pt idx="24">
                  <c:v xml:space="preserve">"БОЛЬШЕСОСНОВСКАЯ ЦРБ ИМ. КОЛЧАНОВОЙ Г. Ф."</c:v>
                </c:pt>
                <c:pt idx="25">
                  <c:v xml:space="preserve">"ОХАНСКАЯ ЦРБ"</c:v>
                </c:pt>
                <c:pt idx="26">
                  <c:v xml:space="preserve">ООО МЕДИЦИНСКАЯ КОМПАНИЯ "УРАЛМЕД"</c:v>
                </c:pt>
                <c:pt idx="27">
                  <c:v xml:space="preserve">"ГОРОДСКАЯ КЛИНИЧЕСКАЯ БОЛЬНИЦА № 1" </c:v>
                </c:pt>
                <c:pt idx="28">
                  <c:v xml:space="preserve">ООО "ЧАСТНАЯ КЛИНИКА-САЛОН "РОДЕН"</c:v>
                </c:pt>
                <c:pt idx="29">
                  <c:v xml:space="preserve">ЧУЗ "КЛИНИЧЕСКАЯ БОЛЬНИЦА "РЖД-МЕДИЦИНА" ГОРОДА ПЕРМЬ"</c:v>
                </c:pt>
                <c:pt idx="30">
                  <c:v xml:space="preserve"> "КАРАГАЙСКАЯ ЦРБ"</c:v>
                </c:pt>
                <c:pt idx="31">
                  <c:v xml:space="preserve">"БАРДЫМСКАЯ ЦРБ ИМ. А.П. КУРОЧКИНОЙ"</c:v>
                </c:pt>
                <c:pt idx="32">
                  <c:v xml:space="preserve">"ГОРОДСКАЯ ДЕТСКАЯ БОЛЬНИЦА" Г. СОЛИКАМСК</c:v>
                </c:pt>
                <c:pt idx="33">
                  <c:v xml:space="preserve">"ОРДИНСКАЯ ЦРБ"</c:v>
                </c:pt>
                <c:pt idx="34">
                  <c:v xml:space="preserve">ООО "АВИСМА - МЕД"</c:v>
                </c:pt>
                <c:pt idx="35">
                  <c:v xml:space="preserve"> "ПЕРМСКАЯ КРАЕВАЯ КЛИНИЧЕСКАЯ ИНФЕКЦИОННАЯ БОЛЬНИЦА"</c:v>
                </c:pt>
                <c:pt idx="36">
                  <c:v xml:space="preserve">ООО "ЕЛИЗАВЕТИНСКАЯ БОЛЬНИЦА"</c:v>
                </c:pt>
                <c:pt idx="37">
                  <c:v xml:space="preserve"> "БЕРЕЗОВСКАЯ ЦРБ"</c:v>
                </c:pt>
                <c:pt idx="38">
                  <c:v xml:space="preserve"> "КЛИНИЧЕСКИЙ ФТИЗИОПУЛЬМОНОЛОГИЧЕСКИЙ МЕДИЦИНСКИЙ ЦЕНТР"</c:v>
                </c:pt>
                <c:pt idx="39">
                  <c:v xml:space="preserve">"ГОРНОЗАВОДСКАЯ РАЙОННАЯ БОЛЬНИЦА"</c:v>
                </c:pt>
                <c:pt idx="40">
                  <c:v xml:space="preserve"> "КРАСНОВИШЕРСКАЯ ЦРБ"</c:v>
                </c:pt>
                <c:pt idx="41">
                  <c:v xml:space="preserve">"КРАЕВАЯ ДЕТСКАЯ КЛИНИЧЕСКАЯ БОЛЬНИЦА"</c:v>
                </c:pt>
                <c:pt idx="42">
                  <c:v xml:space="preserve"> "ОЧЕРСКАЯ ЦРБ"</c:v>
                </c:pt>
                <c:pt idx="43">
                  <c:v xml:space="preserve"> "ФЦССХ ИМ. С.Г. СУХАНОВА" МИНИСТЕРСТВА ЗДРАВООХРАНЕНИЯ РФ (Г. ПЕРМЬ)</c:v>
                </c:pt>
                <c:pt idx="44">
                  <c:v xml:space="preserve">"ЧАЙКОВСКАЯ ДЕТСКАЯ ГОРОДСКАЯ БОЛЬНИЦА"</c:v>
                </c:pt>
                <c:pt idx="45">
                  <c:v xml:space="preserve">"ПОЛАЗНЕНСКАЯ РАЙОННАЯ БОЛЬНИЦА"</c:v>
                </c:pt>
                <c:pt idx="46">
                  <c:v xml:space="preserve">"СТОМАТОЛОГИЧЕСКАЯ ПОЛИКЛИНИКА Г.СОЛИКАМСКА"</c:v>
                </c:pt>
                <c:pt idx="47">
                  <c:v xml:space="preserve">"ЧАЙКОВСКАЯ СТОМАТОЛОГИЧЕСКАЯ ПОЛИКЛИНИКА"</c:v>
                </c:pt>
                <c:pt idx="48">
                  <c:v xml:space="preserve">"БОЛЬНИЦА КОМИ-ПЕРМЯЦКОГО ОКРУГА"</c:v>
                </c:pt>
                <c:pt idx="49">
                  <c:v xml:space="preserve"> "КУНГУРСКАЯ СТОМАТОЛОГИЧЕСКАЯ ПОЛИКЛИНИКА"</c:v>
                </c:pt>
                <c:pt idx="50">
                  <c:v xml:space="preserve">"ГОРОДСКАЯ ДЕТСКАЯ КЛИНИЧЕСКАЯ БОЛЬНИЦА № 3 ИМ. КОРЮКИНОЙ И. П."</c:v>
                </c:pt>
                <c:pt idx="51">
                  <c:v xml:space="preserve">"СУКСУНСКАЯ ЦРБ"</c:v>
                </c:pt>
                <c:pt idx="52">
                  <c:v xml:space="preserve">"ГОРОДСКАЯ КЛИНИЧЕСКАЯ БОЛЬНИЦА № 2 ИМ. Ф. Х. ГРАЛЯ"</c:v>
                </c:pt>
                <c:pt idx="53">
                  <c:v xml:space="preserve">"ПЕРМСКАЯ ССМП"</c:v>
                </c:pt>
                <c:pt idx="54">
                  <c:v xml:space="preserve">"ГОРОДСКАЯ ДЕТСКАЯ ПОЛИКЛИНИКА № 4 ИМ. ЧЕРНЫШОВОЙ О. Е."</c:v>
                </c:pt>
                <c:pt idx="55">
                  <c:v xml:space="preserve"> "ГОРОДСКАЯ ДЕТСКАЯ ПОЛИКЛИНИКА № 3"</c:v>
                </c:pt>
                <c:pt idx="56">
                  <c:v xml:space="preserve">"ОКТЯБРЬСКАЯ ЦРБ"</c:v>
                </c:pt>
                <c:pt idx="57">
                  <c:v xml:space="preserve">"ГОРОДСКАЯ ДЕТСКАЯ КЛИНИЧЕСКАЯ ПОЛИКЛИНИКА № 5"</c:v>
                </c:pt>
                <c:pt idx="58">
                  <c:v xml:space="preserve">"КУЕДИНСКАЯ ЦРБ"</c:v>
                </c:pt>
                <c:pt idx="59">
                  <c:v xml:space="preserve">"ПЕРМСКАЯ КРАЕВАЯ СТАНЦИЯ ПЕРЕЛИВАНИЯ КРОВИ"</c:v>
                </c:pt>
                <c:pt idx="60">
                  <c:v xml:space="preserve">ООО "ДОКТОР АЙБОЛИТ"</c:v>
                </c:pt>
                <c:pt idx="61">
                  <c:v xml:space="preserve">"ГОРОДСКАЯ КЛИНИЧЕСКАЯ БОЛЬНИЦА № 3" </c:v>
                </c:pt>
                <c:pt idx="62">
                  <c:v xml:space="preserve">"КРАЕВОЙ КЛИНИЧЕСКИЙ КОЖНО-ВЕНЕРОЛОГИЧЕСКИЙ ДИСПАНСЕР"</c:v>
                </c:pt>
                <c:pt idx="63">
                  <c:v xml:space="preserve">АО «СТОМАТОЛОГИЧЕСКАЯ ПОЛИКЛИНИКА №4»</c:v>
                </c:pt>
                <c:pt idx="64">
                  <c:v xml:space="preserve">"ВЕРЕЩАГИНСКАЯ ЦРБ"</c:v>
                </c:pt>
                <c:pt idx="65">
                  <c:v xml:space="preserve">"ЧЕРНУШИНСКАЯ РАЙОННАЯ БОЛЬНИЦА"</c:v>
                </c:pt>
                <c:pt idx="66">
                  <c:v xml:space="preserve">"ОСИНСКАЯ ЦРБ"</c:v>
                </c:pt>
                <c:pt idx="67">
                  <c:v xml:space="preserve">"БЕРЕЗНИКОВСКАЯ СТОМАТОЛОГИЧЕСКАЯ ПОЛИКЛИНИКА"</c:v>
                </c:pt>
                <c:pt idx="68">
                  <c:v xml:space="preserve"> "НЫТВЕНСКАЯ РАЙОННАЯ БОЛЬНИЦА"</c:v>
                </c:pt>
                <c:pt idx="69">
                  <c:v xml:space="preserve">"ГОРОДСКАЯ ДЕТСКАЯ КЛИНИЧЕСКАЯ ПОЛИКЛИНИКА № 1"</c:v>
                </c:pt>
                <c:pt idx="70">
                  <c:v xml:space="preserve">"ГОРОДСКАЯ КЛИНИЧЕСКАЯ БОЛЬНИЦА №4"</c:v>
                </c:pt>
                <c:pt idx="71">
                  <c:v xml:space="preserve">"КРАЕВАЯ КЛИНИЧЕСКАЯ СТОМАТОЛОГИЧЕСКАЯ ПОЛИКЛИНИКА"</c:v>
                </c:pt>
                <c:pt idx="72">
                  <c:v xml:space="preserve">"ГОРОДСКАЯ СТОМАТОЛОГИЧЕСКАЯ ПОЛИКЛИНИКА"</c:v>
                </c:pt>
                <c:pt idx="73">
                  <c:v xml:space="preserve">"ГОРОДСКАЯ КЛИНИЧЕСКАЯ БОЛЬНИЦА ИМ. М.А. ТВЕРЬЕ"</c:v>
                </c:pt>
                <c:pt idx="74">
                  <c:v xml:space="preserve">"ПЕРМСКИЙ КРАЕВОЙ ОНКОЛОГИЧЕСКИЙ ДИСПАНСЕР"</c:v>
                </c:pt>
                <c:pt idx="75">
                  <c:v xml:space="preserve">"КУНГУРСКАЯ БОЛЬНИЦА"</c:v>
                </c:pt>
                <c:pt idx="76">
                  <c:v xml:space="preserve">"ЧУСОВСКАЯ БОЛЬНИЦА ИМЕНИ В.Г. ЛЮБИМОВА"</c:v>
                </c:pt>
                <c:pt idx="77">
                  <c:v xml:space="preserve">"ГОРОДСКАЯ ДЕТСКАЯ КЛИНИЧЕСКАЯ ПОЛИКЛИНИКА № 6"</c:v>
                </c:pt>
                <c:pt idx="78">
                  <c:v xml:space="preserve">"ОРДЕНА "ЗНАК ПОЧЁТА" ПЕРМСКАЯ КРАЕВАЯ КЛИНИЧЕСКАЯ БОЛЬНИЦА"</c:v>
                </c:pt>
                <c:pt idx="79">
                  <c:v xml:space="preserve">ООО "ГОРОДСКАЯ ПОЛИКЛИНИКА" Г. ПЕРМЬ</c:v>
                </c:pt>
                <c:pt idx="80">
                  <c:v xml:space="preserve">"ГОРОДСКАЯ СТОМАТОЛОГИЧЕСКАЯ ПОЛИКЛИНИКА № 3"</c:v>
                </c:pt>
                <c:pt idx="81">
                  <c:v xml:space="preserve">"ГОРОДСКАЯ БОЛЬНИЦА ЛЫСЬВЕНСКОГО ГОРОДСКОГО ОКРУГА"</c:v>
                </c:pt>
                <c:pt idx="82">
                  <c:v xml:space="preserve">"ДЕТСКАЯ КЛИНИЧЕСКАЯ БОЛЬНИЦА ИМЕНИ ПИЧУГИНА ПАВЛА ИВАНОВИЧА"</c:v>
                </c:pt>
                <c:pt idx="83">
                  <c:v xml:space="preserve">«ПЕРМСКИЙ КРАЕВОЙ КЛИНИЧЕСКИЙ НАРКОЛОГИЧЕСКИЙ ДИСПАНСЕР»</c:v>
                </c:pt>
                <c:pt idx="84">
                  <c:v xml:space="preserve">"ГОРОДСКАЯ БОЛЬНИЦА Г. СОЛИКАМСК"</c:v>
                </c:pt>
                <c:pt idx="85">
                  <c:v xml:space="preserve">"ДОБРЯНСКАЯ ЦЕНТРАЛЬНАЯ РАЙОННАЯ БОЛЬНИЦА"</c:v>
                </c:pt>
                <c:pt idx="86">
                  <c:v xml:space="preserve">"КРАЕВАЯ СТОМАТОЛОГИЧЕСКАЯ ПОЛИКЛИНИКА № 2"</c:v>
                </c:pt>
                <c:pt idx="87">
                  <c:v xml:space="preserve">АО "МЕДИЦИНСКИЙ ЦЕНТР "ФИЛОСОФИЯ КРАСОТЫ И ЗДОРОВЬЯ"</c:v>
                </c:pt>
                <c:pt idx="88">
                  <c:v xml:space="preserve">"КРАСНОКАМСКАЯ ГОРОДСКАЯ БОЛЬНИЦА"</c:v>
                </c:pt>
                <c:pt idx="89">
                  <c:v xml:space="preserve">"ЧАЙКОВСКАЯ ЦЕНТРАЛЬНАЯ ГОРОДСКАЯ БОЛЬНИЦА"</c:v>
                </c:pt>
                <c:pt idx="90">
                  <c:v xml:space="preserve">"ГОРОДСКАЯ КЛИНИЧЕСКАЯ ПОЛИКЛИНИКА Г. ПЕРМИ"</c:v>
                </c:pt>
                <c:pt idx="91">
                  <c:v xml:space="preserve">"ПЕРМСКИЙ КЛИНИЧЕСКИЙ ЦЕНТР ФЕДЕРАЛЬНОГО МЕДИКО-БИОЛОГИЧЕСКОГО АГЕНТСТВА"</c:v>
                </c:pt>
                <c:pt idx="92">
                  <c:v xml:space="preserve">"ПЕРМСКАЯ ЦРБ"</c:v>
                </c:pt>
                <c:pt idx="93">
                  <c:v xml:space="preserve">"ГОРОДСКАЯ ПОЛИКЛИНИКА № 7"</c:v>
                </c:pt>
                <c:pt idx="94">
                  <c:v xml:space="preserve">"КРАЕВАЯ БОЛЬНИЦА ИМ. АКАДЕМИКА ВАГНЕРА Е. А." Г. БЕРЕЗНИКИ</c:v>
                </c:pt>
                <c:pt idx="95">
                  <c:v xml:space="preserve">"ГОРОДСКАЯ КЛИНИЧЕСКАЯ ПОЛИКЛИНИКА № 2"</c:v>
                </c:pt>
                <c:pt idx="96">
                  <c:v xml:space="preserve"> "ГОРОДСКАЯ КЛИНИЧЕСКАЯ ПОЛИКЛИНИКА № 4"</c:v>
                </c:pt>
                <c:pt idx="97">
                  <c:v xml:space="preserve">"ГОРОДСКАЯ КЛИНИЧЕСКАЯ БОЛЬНИЦА ИМ. С. Н. ГРИНБЕРГА"</c:v>
                </c:pt>
                <c:pt idx="98">
                  <c:v xml:space="preserve">"ГОРОДСКАЯ КЛИНИЧЕСКАЯ ПОЛИКЛИНИКА № 5"</c:v>
                </c:pt>
                <c:pt idx="99">
                  <c:v xml:space="preserve">"ГОРОДСКАЯ БОЛЬНИЦА АРХАНГЕЛА МИХАИЛА И ВСЕХ НЕБЕСНЫХ СИЛ"</c:v>
                </c:pt>
                <c:pt idx="100">
                  <c:v xml:space="preserve">"КРАЕВАЯ КЛИНИЧЕСКАЯ ПСИХИАТРИЧЕСКАЯ БОЛЬНИЦА"</c:v>
                </c:pt>
              </c:strCache>
            </c:strRef>
          </c:cat>
          <c:val>
            <c:numRef>
              <c:f>Лист1!$B$1:$B$101</c:f>
              <c:numCache>
                <c:formatCode>General</c:formatCode>
                <c:ptCount val="101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3</c:v>
                </c:pt>
                <c:pt idx="10">
                  <c:v>3</c:v>
                </c:pt>
                <c:pt idx="11">
                  <c:v>4</c:v>
                </c:pt>
                <c:pt idx="12">
                  <c:v>4</c:v>
                </c:pt>
                <c:pt idx="13">
                  <c:v>4</c:v>
                </c:pt>
                <c:pt idx="14">
                  <c:v>4</c:v>
                </c:pt>
                <c:pt idx="15">
                  <c:v>4</c:v>
                </c:pt>
                <c:pt idx="16">
                  <c:v>5</c:v>
                </c:pt>
                <c:pt idx="17">
                  <c:v>5</c:v>
                </c:pt>
                <c:pt idx="18">
                  <c:v>6</c:v>
                </c:pt>
                <c:pt idx="19">
                  <c:v>6</c:v>
                </c:pt>
                <c:pt idx="20">
                  <c:v>6</c:v>
                </c:pt>
                <c:pt idx="21">
                  <c:v>6</c:v>
                </c:pt>
                <c:pt idx="22">
                  <c:v>6</c:v>
                </c:pt>
                <c:pt idx="23">
                  <c:v>6</c:v>
                </c:pt>
                <c:pt idx="24">
                  <c:v>7</c:v>
                </c:pt>
                <c:pt idx="25">
                  <c:v>7</c:v>
                </c:pt>
                <c:pt idx="26">
                  <c:v>8</c:v>
                </c:pt>
                <c:pt idx="27">
                  <c:v>9</c:v>
                </c:pt>
                <c:pt idx="28">
                  <c:v>9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11</c:v>
                </c:pt>
                <c:pt idx="33">
                  <c:v>11</c:v>
                </c:pt>
                <c:pt idx="34">
                  <c:v>11</c:v>
                </c:pt>
                <c:pt idx="35">
                  <c:v>12</c:v>
                </c:pt>
                <c:pt idx="36">
                  <c:v>12</c:v>
                </c:pt>
                <c:pt idx="37">
                  <c:v>14</c:v>
                </c:pt>
                <c:pt idx="38">
                  <c:v>14</c:v>
                </c:pt>
                <c:pt idx="39">
                  <c:v>15</c:v>
                </c:pt>
                <c:pt idx="40">
                  <c:v>15</c:v>
                </c:pt>
                <c:pt idx="41">
                  <c:v>16</c:v>
                </c:pt>
                <c:pt idx="42">
                  <c:v>16</c:v>
                </c:pt>
                <c:pt idx="43">
                  <c:v>16</c:v>
                </c:pt>
                <c:pt idx="44">
                  <c:v>17</c:v>
                </c:pt>
                <c:pt idx="45">
                  <c:v>19</c:v>
                </c:pt>
                <c:pt idx="46">
                  <c:v>19</c:v>
                </c:pt>
                <c:pt idx="47">
                  <c:v>19</c:v>
                </c:pt>
                <c:pt idx="48">
                  <c:v>20</c:v>
                </c:pt>
                <c:pt idx="49">
                  <c:v>20</c:v>
                </c:pt>
                <c:pt idx="50">
                  <c:v>21</c:v>
                </c:pt>
                <c:pt idx="51">
                  <c:v>21</c:v>
                </c:pt>
                <c:pt idx="52">
                  <c:v>23</c:v>
                </c:pt>
                <c:pt idx="53">
                  <c:v>23</c:v>
                </c:pt>
                <c:pt idx="54">
                  <c:v>24</c:v>
                </c:pt>
                <c:pt idx="55">
                  <c:v>25</c:v>
                </c:pt>
                <c:pt idx="56">
                  <c:v>31</c:v>
                </c:pt>
                <c:pt idx="57">
                  <c:v>32</c:v>
                </c:pt>
                <c:pt idx="58">
                  <c:v>32</c:v>
                </c:pt>
                <c:pt idx="59">
                  <c:v>35</c:v>
                </c:pt>
                <c:pt idx="60">
                  <c:v>36</c:v>
                </c:pt>
                <c:pt idx="61">
                  <c:v>38</c:v>
                </c:pt>
                <c:pt idx="62">
                  <c:v>39</c:v>
                </c:pt>
                <c:pt idx="63">
                  <c:v>42</c:v>
                </c:pt>
                <c:pt idx="64">
                  <c:v>42</c:v>
                </c:pt>
                <c:pt idx="65">
                  <c:v>43</c:v>
                </c:pt>
                <c:pt idx="66">
                  <c:v>47</c:v>
                </c:pt>
                <c:pt idx="67">
                  <c:v>50</c:v>
                </c:pt>
                <c:pt idx="68">
                  <c:v>50</c:v>
                </c:pt>
                <c:pt idx="69">
                  <c:v>54</c:v>
                </c:pt>
                <c:pt idx="70">
                  <c:v>64</c:v>
                </c:pt>
                <c:pt idx="71">
                  <c:v>64</c:v>
                </c:pt>
                <c:pt idx="72">
                  <c:v>66</c:v>
                </c:pt>
                <c:pt idx="73">
                  <c:v>68</c:v>
                </c:pt>
                <c:pt idx="74">
                  <c:v>68</c:v>
                </c:pt>
                <c:pt idx="75">
                  <c:v>70</c:v>
                </c:pt>
                <c:pt idx="76">
                  <c:v>81</c:v>
                </c:pt>
                <c:pt idx="77">
                  <c:v>82</c:v>
                </c:pt>
                <c:pt idx="78">
                  <c:v>85</c:v>
                </c:pt>
                <c:pt idx="79">
                  <c:v>86</c:v>
                </c:pt>
                <c:pt idx="80">
                  <c:v>87</c:v>
                </c:pt>
                <c:pt idx="81">
                  <c:v>90</c:v>
                </c:pt>
                <c:pt idx="82">
                  <c:v>92</c:v>
                </c:pt>
                <c:pt idx="83">
                  <c:v>94</c:v>
                </c:pt>
                <c:pt idx="84">
                  <c:v>109</c:v>
                </c:pt>
                <c:pt idx="85">
                  <c:v>117</c:v>
                </c:pt>
                <c:pt idx="86">
                  <c:v>117</c:v>
                </c:pt>
                <c:pt idx="87">
                  <c:v>130</c:v>
                </c:pt>
                <c:pt idx="88">
                  <c:v>133</c:v>
                </c:pt>
                <c:pt idx="89">
                  <c:v>154</c:v>
                </c:pt>
                <c:pt idx="90">
                  <c:v>177</c:v>
                </c:pt>
                <c:pt idx="91">
                  <c:v>178</c:v>
                </c:pt>
                <c:pt idx="92">
                  <c:v>235</c:v>
                </c:pt>
                <c:pt idx="93">
                  <c:v>236</c:v>
                </c:pt>
                <c:pt idx="94">
                  <c:v>265</c:v>
                </c:pt>
                <c:pt idx="95">
                  <c:v>288</c:v>
                </c:pt>
                <c:pt idx="96">
                  <c:v>288</c:v>
                </c:pt>
                <c:pt idx="97">
                  <c:v>292</c:v>
                </c:pt>
                <c:pt idx="98">
                  <c:v>370</c:v>
                </c:pt>
                <c:pt idx="99">
                  <c:v>478</c:v>
                </c:pt>
                <c:pt idx="100">
                  <c:v>546</c:v>
                </c:pt>
              </c:numCache>
            </c:numRef>
          </c:val>
        </c:ser>
        <c:dLbls>
          <c:dLblPos val="outEnd"/>
          <c:showBubbleSize val="0"/>
          <c:showCatName val="0"/>
          <c:showLeaderLines val="0"/>
          <c:showLegendKey val="0"/>
          <c:showPercent val="0"/>
          <c:showSerName val="0"/>
          <c:showVal val="1"/>
        </c:dLbls>
        <c:gapWidth val="150"/>
        <c:axId val="237124992"/>
        <c:axId val="237163648"/>
      </c:barChart>
      <c:catAx>
        <c:axId val="237124992"/>
        <c:scaling>
          <c:orientation val="minMax"/>
        </c:scaling>
        <c:delete val="0"/>
        <c:axPos val="l"/>
        <c:majorTickMark val="out"/>
        <c:minorTickMark val="none"/>
        <c:tickLblPos val="nextTo"/>
        <c:crossAx val="237163648"/>
        <c:crosses val="autoZero"/>
        <c:auto val="1"/>
        <c:lblAlgn val="ctr"/>
        <c:lblOffset val="100"/>
        <c:noMultiLvlLbl val="0"/>
      </c:catAx>
      <c:valAx>
        <c:axId val="237163648"/>
        <c:scaling>
          <c:orientation val="minMax"/>
        </c:scaling>
        <c:delete val="1"/>
        <c:axPos val="b"/>
        <c:majorGridlines>
          <c:spPr bwMode="auto"/>
        </c:majorGridlines>
        <c:numFmt formatCode="General" sourceLinked="1"/>
        <c:majorTickMark val="out"/>
        <c:minorTickMark val="none"/>
        <c:tickLblPos val="nextTo"/>
        <c:crossAx val="237124992"/>
        <c:crosses val="autoZero"/>
        <c:crossBetween val="between"/>
      </c:valAx>
    </c:plotArea>
    <c:plotVisOnly val="1"/>
    <c:dispBlanksAs val="gap"/>
    <c:showDLblsOverMax val="0"/>
  </c:chart>
  <c:spPr bwMode="auto">
    <a:xfrm>
      <a:off x="0" y="0"/>
      <a:ext cx="5808219" cy="5662072"/>
    </a:xfrm>
  </c:sp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87B52-1C5E-4BB6-815E-ED7856D24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ICS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alkrivoshchiekova@pk.gov</cp:lastModifiedBy>
  <cp:revision>7</cp:revision>
  <dcterms:created xsi:type="dcterms:W3CDTF">2026-10-01T15:29:00Z</dcterms:created>
  <dcterms:modified xsi:type="dcterms:W3CDTF">2026-10-02T11:15:27Z</dcterms:modified>
</cp:coreProperties>
</file>